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E34" w:rsidRPr="00C51765" w:rsidRDefault="005F4E34" w:rsidP="005F4E34">
      <w:pPr>
        <w:autoSpaceDE w:val="0"/>
        <w:autoSpaceDN w:val="0"/>
        <w:adjustRightInd w:val="0"/>
        <w:spacing w:after="0" w:line="240" w:lineRule="auto"/>
        <w:ind w:left="1622" w:right="1996"/>
        <w:jc w:val="both"/>
        <w:rPr>
          <w:rFonts w:ascii="Tahoma" w:hAnsi="Tahoma" w:cs="Tahoma"/>
          <w:sz w:val="20"/>
          <w:szCs w:val="20"/>
        </w:rPr>
      </w:pPr>
      <w:r w:rsidRPr="00C51765">
        <w:rPr>
          <w:rFonts w:ascii="Tahoma" w:hAnsi="Tahoma" w:cs="Tahoma"/>
          <w:b/>
          <w:sz w:val="20"/>
          <w:szCs w:val="20"/>
        </w:rPr>
        <w:t>Sumilla:</w:t>
      </w:r>
      <w:r w:rsidRPr="00C51765">
        <w:rPr>
          <w:rFonts w:ascii="Tahoma" w:hAnsi="Tahoma" w:cs="Tahoma"/>
          <w:sz w:val="20"/>
          <w:szCs w:val="20"/>
        </w:rPr>
        <w:t xml:space="preserve"> </w:t>
      </w:r>
      <w:r w:rsidRPr="00C51765">
        <w:rPr>
          <w:rFonts w:ascii="Tahoma" w:hAnsi="Tahoma" w:cs="Tahoma"/>
          <w:i/>
          <w:iCs/>
          <w:sz w:val="20"/>
          <w:szCs w:val="20"/>
        </w:rPr>
        <w:t>Es infundado el recurso de reconsideración que no logra rebatir los fundamentos expuestos en la recurrida para imponer la sanción administrativa correspondiente.</w:t>
      </w:r>
      <w:r w:rsidRPr="00C51765">
        <w:rPr>
          <w:rFonts w:ascii="Tahoma" w:hAnsi="Tahoma" w:cs="Tahoma"/>
          <w:i/>
          <w:sz w:val="20"/>
          <w:szCs w:val="20"/>
          <w:highlight w:val="green"/>
          <w:lang w:val="es-MX"/>
        </w:rPr>
        <w:t xml:space="preserve"> </w:t>
      </w:r>
    </w:p>
    <w:p w:rsidR="005F4E34" w:rsidRDefault="005F4E34" w:rsidP="005F4E34">
      <w:pPr>
        <w:pStyle w:val="Textoindependiente3"/>
        <w:spacing w:after="0"/>
        <w:ind w:right="179"/>
        <w:rPr>
          <w:rFonts w:ascii="Tahoma" w:hAnsi="Tahoma" w:cs="Tahoma"/>
          <w:b/>
          <w:sz w:val="20"/>
          <w:szCs w:val="20"/>
          <w:highlight w:val="yellow"/>
        </w:rPr>
      </w:pPr>
    </w:p>
    <w:p w:rsidR="005F4E34" w:rsidRPr="00775123" w:rsidRDefault="005F4E34" w:rsidP="005F4E34">
      <w:pPr>
        <w:pStyle w:val="Textoindependiente3"/>
        <w:spacing w:after="0"/>
        <w:ind w:right="179"/>
        <w:rPr>
          <w:rFonts w:ascii="Tahoma" w:hAnsi="Tahoma" w:cs="Tahoma"/>
          <w:b/>
          <w:sz w:val="20"/>
          <w:szCs w:val="20"/>
          <w:highlight w:val="yellow"/>
        </w:rPr>
      </w:pPr>
    </w:p>
    <w:p w:rsidR="005F4E34" w:rsidRPr="00024BB0" w:rsidRDefault="005F4E34" w:rsidP="00024BB0">
      <w:pPr>
        <w:pStyle w:val="Textoindependiente3"/>
        <w:spacing w:after="0"/>
        <w:ind w:left="4248" w:right="-2" w:firstLine="708"/>
        <w:jc w:val="right"/>
        <w:rPr>
          <w:rFonts w:ascii="Tahoma" w:hAnsi="Tahoma" w:cs="Tahoma"/>
          <w:b/>
          <w:sz w:val="20"/>
          <w:szCs w:val="20"/>
        </w:rPr>
      </w:pPr>
      <w:r w:rsidRPr="00024BB0">
        <w:rPr>
          <w:rFonts w:ascii="Tahoma" w:hAnsi="Tahoma" w:cs="Tahoma"/>
          <w:b/>
          <w:sz w:val="20"/>
          <w:szCs w:val="20"/>
        </w:rPr>
        <w:t xml:space="preserve">Lima, </w:t>
      </w:r>
      <w:r w:rsidR="00024BB0" w:rsidRPr="00024BB0">
        <w:rPr>
          <w:rFonts w:ascii="Tahoma" w:hAnsi="Tahoma" w:cs="Tahoma"/>
          <w:b/>
          <w:sz w:val="20"/>
          <w:szCs w:val="20"/>
        </w:rPr>
        <w:t>29 de Abril de 2011</w:t>
      </w:r>
    </w:p>
    <w:p w:rsidR="005F4E34" w:rsidRPr="002F02A7" w:rsidRDefault="005F4E34" w:rsidP="005F4E34">
      <w:pPr>
        <w:pStyle w:val="Textoindependiente3"/>
        <w:spacing w:after="0"/>
        <w:rPr>
          <w:rFonts w:ascii="Tahoma" w:hAnsi="Tahoma" w:cs="Tahoma"/>
          <w:sz w:val="20"/>
          <w:szCs w:val="20"/>
        </w:rPr>
      </w:pPr>
    </w:p>
    <w:p w:rsidR="005F4E34" w:rsidRPr="002F02A7" w:rsidRDefault="005F4E34" w:rsidP="005F4E34">
      <w:pPr>
        <w:suppressAutoHyphens/>
        <w:spacing w:after="0" w:line="240" w:lineRule="auto"/>
        <w:jc w:val="both"/>
        <w:rPr>
          <w:rFonts w:ascii="Tahoma" w:hAnsi="Tahoma" w:cs="Tahoma"/>
          <w:sz w:val="20"/>
          <w:szCs w:val="20"/>
          <w:lang w:val="es-MX" w:eastAsia="es-MX"/>
        </w:rPr>
      </w:pPr>
      <w:r w:rsidRPr="002F02A7">
        <w:rPr>
          <w:rFonts w:ascii="Tahoma" w:hAnsi="Tahoma" w:cs="Tahoma"/>
          <w:b/>
          <w:sz w:val="20"/>
          <w:szCs w:val="20"/>
        </w:rPr>
        <w:t>VISTO</w:t>
      </w:r>
      <w:r>
        <w:rPr>
          <w:rFonts w:ascii="Tahoma" w:hAnsi="Tahoma" w:cs="Tahoma"/>
          <w:sz w:val="20"/>
          <w:szCs w:val="20"/>
        </w:rPr>
        <w:t xml:space="preserve"> en sesión de fecha 29</w:t>
      </w:r>
      <w:r w:rsidRPr="002F02A7">
        <w:rPr>
          <w:rFonts w:ascii="Tahoma" w:hAnsi="Tahoma" w:cs="Tahoma"/>
          <w:sz w:val="20"/>
          <w:szCs w:val="20"/>
        </w:rPr>
        <w:t xml:space="preserve"> de </w:t>
      </w:r>
      <w:r>
        <w:rPr>
          <w:rFonts w:ascii="Tahoma" w:hAnsi="Tahoma" w:cs="Tahoma"/>
          <w:sz w:val="20"/>
          <w:szCs w:val="20"/>
        </w:rPr>
        <w:t>abril de 2011</w:t>
      </w:r>
      <w:r w:rsidRPr="002F02A7">
        <w:rPr>
          <w:rFonts w:ascii="Tahoma" w:hAnsi="Tahoma" w:cs="Tahoma"/>
          <w:sz w:val="20"/>
          <w:szCs w:val="20"/>
        </w:rPr>
        <w:t xml:space="preserve"> de la </w:t>
      </w:r>
      <w:r>
        <w:rPr>
          <w:rFonts w:ascii="Tahoma" w:hAnsi="Tahoma" w:cs="Tahoma"/>
          <w:sz w:val="20"/>
          <w:szCs w:val="20"/>
        </w:rPr>
        <w:t>Cuarta</w:t>
      </w:r>
      <w:r w:rsidRPr="002F02A7">
        <w:rPr>
          <w:rFonts w:ascii="Tahoma" w:hAnsi="Tahoma" w:cs="Tahoma"/>
          <w:sz w:val="20"/>
          <w:szCs w:val="20"/>
        </w:rPr>
        <w:t xml:space="preserve"> Sala del Tribunal de Contrataciones del Estado el</w:t>
      </w:r>
      <w:r>
        <w:rPr>
          <w:rFonts w:ascii="Tahoma" w:hAnsi="Tahoma" w:cs="Tahoma"/>
          <w:sz w:val="20"/>
          <w:szCs w:val="20"/>
        </w:rPr>
        <w:t xml:space="preserve"> Expediente № 46/2010</w:t>
      </w:r>
      <w:r w:rsidRPr="002F02A7">
        <w:rPr>
          <w:rFonts w:ascii="Tahoma" w:hAnsi="Tahoma" w:cs="Tahoma"/>
          <w:sz w:val="20"/>
          <w:szCs w:val="20"/>
        </w:rPr>
        <w:t xml:space="preserve">.TC, </w:t>
      </w:r>
      <w:r w:rsidRPr="002F02A7">
        <w:rPr>
          <w:rFonts w:ascii="Tahoma" w:hAnsi="Tahoma" w:cs="Tahoma"/>
          <w:color w:val="000000"/>
          <w:sz w:val="20"/>
          <w:szCs w:val="20"/>
        </w:rPr>
        <w:t xml:space="preserve">respecto al recurso de reconsideración interpuesto por la empresa </w:t>
      </w:r>
      <w:r>
        <w:rPr>
          <w:rFonts w:ascii="Tahoma" w:hAnsi="Tahoma" w:cs="Tahoma"/>
          <w:color w:val="000000"/>
          <w:sz w:val="20"/>
          <w:szCs w:val="20"/>
        </w:rPr>
        <w:t xml:space="preserve">GRUPO ZONDA S.A.C. </w:t>
      </w:r>
      <w:r w:rsidRPr="002F02A7">
        <w:rPr>
          <w:rFonts w:ascii="Tahoma" w:hAnsi="Tahoma" w:cs="Tahoma"/>
          <w:sz w:val="20"/>
          <w:szCs w:val="20"/>
          <w:lang w:eastAsia="es-ES"/>
        </w:rPr>
        <w:t xml:space="preserve">contra la Resolución </w:t>
      </w:r>
      <w:r w:rsidRPr="002F02A7">
        <w:rPr>
          <w:rFonts w:ascii="Tahoma" w:hAnsi="Tahoma" w:cs="Tahoma"/>
          <w:sz w:val="20"/>
          <w:szCs w:val="20"/>
          <w:lang w:val="es-ES_tradnl" w:eastAsia="es-ES"/>
        </w:rPr>
        <w:t>№</w:t>
      </w:r>
      <w:r>
        <w:rPr>
          <w:rFonts w:ascii="Tahoma" w:hAnsi="Tahoma" w:cs="Tahoma"/>
          <w:sz w:val="20"/>
          <w:szCs w:val="20"/>
          <w:lang w:eastAsia="es-ES"/>
        </w:rPr>
        <w:t xml:space="preserve"> 561-2011-TC-S4</w:t>
      </w:r>
      <w:r w:rsidRPr="002F02A7">
        <w:rPr>
          <w:rFonts w:ascii="Tahoma" w:hAnsi="Tahoma" w:cs="Tahoma"/>
          <w:sz w:val="20"/>
          <w:szCs w:val="20"/>
          <w:lang w:eastAsia="es-ES"/>
        </w:rPr>
        <w:t xml:space="preserve">, </w:t>
      </w:r>
      <w:r w:rsidRPr="002F02A7">
        <w:rPr>
          <w:rFonts w:ascii="Tahoma" w:hAnsi="Tahoma" w:cs="Tahoma"/>
          <w:sz w:val="20"/>
          <w:szCs w:val="20"/>
          <w:lang w:eastAsia="es-PE"/>
        </w:rPr>
        <w:t xml:space="preserve">mediante la cual se le impuso sanción administrativa de inhabilitación por el periodo de </w:t>
      </w:r>
      <w:r>
        <w:rPr>
          <w:rFonts w:ascii="Tahoma" w:hAnsi="Tahoma" w:cs="Tahoma"/>
          <w:sz w:val="20"/>
          <w:szCs w:val="20"/>
          <w:lang w:eastAsia="es-PE"/>
        </w:rPr>
        <w:t xml:space="preserve">doce </w:t>
      </w:r>
      <w:r w:rsidRPr="002F02A7">
        <w:rPr>
          <w:rFonts w:ascii="Tahoma" w:hAnsi="Tahoma" w:cs="Tahoma"/>
          <w:sz w:val="20"/>
          <w:szCs w:val="20"/>
          <w:lang w:eastAsia="es-PE"/>
        </w:rPr>
        <w:t>meses en sus derechos para participar en procesos de selección y contratar con el Estado</w:t>
      </w:r>
      <w:r w:rsidRPr="002F02A7">
        <w:rPr>
          <w:rFonts w:ascii="Tahoma" w:hAnsi="Tahoma" w:cs="Tahoma"/>
          <w:sz w:val="20"/>
          <w:szCs w:val="20"/>
        </w:rPr>
        <w:t xml:space="preserve">; y atendiendo a los siguientes: </w:t>
      </w:r>
    </w:p>
    <w:p w:rsidR="005F4E34" w:rsidRDefault="005F4E34" w:rsidP="005F4E34">
      <w:pPr>
        <w:pStyle w:val="Textoindependiente"/>
        <w:tabs>
          <w:tab w:val="left" w:pos="-2340"/>
        </w:tabs>
        <w:ind w:right="-315"/>
        <w:rPr>
          <w:rFonts w:cs="Tahoma"/>
          <w:b/>
          <w:sz w:val="20"/>
          <w:lang w:val="es-ES"/>
        </w:rPr>
      </w:pPr>
    </w:p>
    <w:p w:rsidR="005F4E34" w:rsidRPr="002F02A7" w:rsidRDefault="005F4E34" w:rsidP="005F4E34">
      <w:pPr>
        <w:pStyle w:val="Textoindependiente"/>
        <w:tabs>
          <w:tab w:val="left" w:pos="-2340"/>
        </w:tabs>
        <w:ind w:right="-315"/>
        <w:rPr>
          <w:rFonts w:cs="Tahoma"/>
          <w:b/>
          <w:sz w:val="20"/>
          <w:lang w:val="es-ES"/>
        </w:rPr>
      </w:pPr>
    </w:p>
    <w:p w:rsidR="005F4E34" w:rsidRDefault="005F4E34" w:rsidP="005F4E34">
      <w:pPr>
        <w:pStyle w:val="Ttulo2"/>
        <w:jc w:val="both"/>
        <w:rPr>
          <w:rFonts w:cs="Tahoma"/>
          <w:sz w:val="20"/>
        </w:rPr>
      </w:pPr>
      <w:r w:rsidRPr="002F02A7">
        <w:rPr>
          <w:rFonts w:cs="Tahoma"/>
          <w:sz w:val="20"/>
        </w:rPr>
        <w:t>ANTECEDENTES:</w:t>
      </w:r>
    </w:p>
    <w:p w:rsidR="005F4E34" w:rsidRPr="002F02A7" w:rsidRDefault="005F4E34" w:rsidP="005F4E34">
      <w:pPr>
        <w:spacing w:after="0" w:line="240" w:lineRule="auto"/>
        <w:rPr>
          <w:lang w:val="es-PE" w:eastAsia="es-PE"/>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El 29 de septiembre de 2009, el BANCO CENTRAL DE RESERVA DEL PERÚ, en adelante la Entidad, convocó la Adjudicación de Menor Cuantía Nº 0109-2009-BCRPLIM (Primera Convocatoria), para la Adquisición de Arcos detectores de metales, bajo el sistema de Suma Alzada y con un valor referencial ascendente a la suma de </w:t>
      </w:r>
      <w:r w:rsidRPr="005F4E34">
        <w:rPr>
          <w:rFonts w:ascii="Tahoma" w:hAnsi="Tahoma" w:cs="Tahoma"/>
          <w:bCs/>
          <w:sz w:val="20"/>
        </w:rPr>
        <w:t>S/. 51,707.60 (Cincuenta y un mil setecientos siete Y 60/100 Nuevos Soles)</w:t>
      </w:r>
      <w:r w:rsidRPr="005F4E34">
        <w:rPr>
          <w:rFonts w:ascii="Tahoma" w:hAnsi="Tahoma" w:cs="Tahoma"/>
          <w:sz w:val="20"/>
        </w:rPr>
        <w:t xml:space="preserve">, incluido los impuestos de Ley.  </w:t>
      </w:r>
    </w:p>
    <w:p w:rsidR="005F4E34" w:rsidRPr="005F4E34" w:rsidRDefault="005F4E34" w:rsidP="005F4E34">
      <w:pPr>
        <w:pStyle w:val="Prrafodelista"/>
        <w:ind w:left="567"/>
        <w:jc w:val="both"/>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El 07 de octubre de 2009, se llevó a cabo el acto de presentación de propuestas, fecha en la cual presentaron ofertas las empresas DEADELUS CORPORATION S.R.L., EQUIPOS DE SEGURIDAD Y REPRESENTACIONES S.R.L., CONSORCIO CADDIN S.A.C. - B&amp;D ENTERPRISES S.A.C., GRUPO ZONDA S.A.C.</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ind w:left="567"/>
        <w:jc w:val="both"/>
        <w:rPr>
          <w:rFonts w:ascii="Tahoma" w:hAnsi="Tahoma" w:cs="Tahoma"/>
          <w:sz w:val="20"/>
        </w:rPr>
      </w:pPr>
      <w:r w:rsidRPr="005F4E34">
        <w:rPr>
          <w:rFonts w:ascii="Tahoma" w:hAnsi="Tahoma" w:cs="Tahoma"/>
          <w:sz w:val="20"/>
        </w:rPr>
        <w:t>La propuesta de la empresa GRUPO ZONDA S.A.C., no fue admitida por no indicar la marca, modelo y cantidad de los bienes ofertados.</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El 15 de octubre de 2009, tuvo lugar el acto otorgamiento de la buena pro,  fecha en la cual resultó favorecida la empresa EQUIPOS DE SEGURIDAD Y REPRESENTACIONES S.R.L., por su oferta económica equivalente a la suma de S/. 49,000.00 (Cuarenta y nueve mil con 00/100 nuevos soles), incluidos los impuestos de Ley. </w:t>
      </w:r>
    </w:p>
    <w:p w:rsidR="005F4E34" w:rsidRPr="005F4E34" w:rsidRDefault="005F4E34" w:rsidP="005F4E34">
      <w:pPr>
        <w:pStyle w:val="Prrafodelista"/>
        <w:ind w:left="567"/>
        <w:jc w:val="both"/>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El 12 de noviembre de 2009, la empresa CADDIN S.A.C., en adelante la Denunciante, presentó ante la Entidad una denuncia en contra de la empresa GRUPO ZONDA S.A.C., en adelante el Postor, por la supuesta presentación de documentación falsa para sustentar su experiencia en ventas de arcos detectores de metal, en este caso un contrato celebrado con ZONDA ADVANCE S.A.C., al señalar que ambas empresas tienen el mismo representante legal y la misma dirección, y que luego de realizadas unas averiguaciones en SUNAT y ADUANAS, ninguna de las empresas desde el año 2007 a la fecha, han importado arcos </w:t>
      </w:r>
      <w:r w:rsidRPr="005F4E34">
        <w:rPr>
          <w:rFonts w:ascii="Tahoma" w:hAnsi="Tahoma" w:cs="Tahoma"/>
          <w:sz w:val="20"/>
        </w:rPr>
        <w:lastRenderedPageBreak/>
        <w:t>detectores de metal, lo cual lo sustenta mediante un reporte de importaciones efectuado desde el año 2007 hasta la fecha.</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ind w:left="567"/>
        <w:jc w:val="both"/>
        <w:rPr>
          <w:rFonts w:ascii="Tahoma" w:hAnsi="Tahoma" w:cs="Tahoma"/>
          <w:sz w:val="20"/>
        </w:rPr>
      </w:pPr>
      <w:r w:rsidRPr="005F4E34">
        <w:rPr>
          <w:rFonts w:ascii="Tahoma" w:hAnsi="Tahoma" w:cs="Tahoma"/>
          <w:sz w:val="20"/>
        </w:rPr>
        <w:t xml:space="preserve">Al respecto,  también indican que ninguna empresa importadora ha traído 6 arcos detectores de metal marca </w:t>
      </w:r>
      <w:proofErr w:type="spellStart"/>
      <w:r w:rsidRPr="005F4E34">
        <w:rPr>
          <w:rFonts w:ascii="Tahoma" w:hAnsi="Tahoma" w:cs="Tahoma"/>
          <w:sz w:val="20"/>
        </w:rPr>
        <w:t>Checkpoint</w:t>
      </w:r>
      <w:proofErr w:type="spellEnd"/>
      <w:r w:rsidRPr="005F4E34">
        <w:rPr>
          <w:rFonts w:ascii="Tahoma" w:hAnsi="Tahoma" w:cs="Tahoma"/>
          <w:sz w:val="20"/>
        </w:rPr>
        <w:t xml:space="preserve"> modelo CS-DS de fabricación china, lo cual es sustentado con el reporte de arcos detectores de metal desde el año 2006 al 2009.</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En atención a ello, mediante Carta Nº 339-2009-ADM120 de fecha 18 de noviembre de 2009, la Entidad corre traslado de la denuncia a la empresa GRUPO ZONDA S.A.C., para que realicen sus descargos y les remitan una copia de la Declaración Jurada de Importación de los seis (06) arcos detectores de metal marca </w:t>
      </w:r>
      <w:proofErr w:type="spellStart"/>
      <w:r w:rsidRPr="005F4E34">
        <w:rPr>
          <w:rFonts w:ascii="Tahoma" w:hAnsi="Tahoma" w:cs="Tahoma"/>
          <w:sz w:val="20"/>
        </w:rPr>
        <w:t>Checkpoint</w:t>
      </w:r>
      <w:proofErr w:type="spellEnd"/>
      <w:r w:rsidRPr="005F4E34">
        <w:rPr>
          <w:rFonts w:ascii="Tahoma" w:hAnsi="Tahoma" w:cs="Tahoma"/>
          <w:sz w:val="20"/>
        </w:rPr>
        <w:t xml:space="preserve"> CS-DS.</w:t>
      </w:r>
    </w:p>
    <w:p w:rsidR="005F4E34" w:rsidRPr="005F4E34" w:rsidRDefault="005F4E34" w:rsidP="005F4E34">
      <w:pPr>
        <w:pStyle w:val="Prrafodelista"/>
        <w:ind w:left="567"/>
        <w:jc w:val="both"/>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Mediante carta de fecha 14 de diciembre de 2009, el Postor presenta ante la Entidad sus descargos, señalando que el hecho que ambas empresas tengan el mismo representante legal, no les impide suscribir un contrato entre ellas, que respecto a la inexistencia de la importación de los arcos, este contrato fue llevado a cabo bajo la aplicación del ICOTERM 2000 – FCA, el cual perfecciona el contrato y por último sobre la no presentación de este contrato en otro proceso de selección, este hecho no hace inválido dicho documento.</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El 12 de enero de 2010, la Entidad pone en conocimiento del Tribunal de Contrataciones del Estado, en adelante el Tribunal, la supuesta responsabilidad en la que habría incurrido el Postor al haber presentado documentación supuestamente falsa para sustentar su experiencia en ventas de arcos detectores de metal, como es el contrato suscrito entre las empresas GRUPO ZONDA S.A.C. y ZONDA ADVANCE S.A.C.</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Mediante decreto de fecha 17 de enero de 2010, se le solicita a la Entidad cumpla previamente con subsanar su comunicación debiendo remitir el entre otras cosas el Informe Técnico Legal con el correspondiente pronunciamiento u opinión sobre la procedencia y presunta responsabilidad del Postor, otorgándole  un plazo de diez (10) días hábiles, bajo responsabilidad y apercibimiento de poner en conocimiento del Órgano de Control Institucional de la Entidad, en el supuesto caso de incumplimiento del requerimiento. </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El 21 de julio de 2010, con Carta Nº 0142-2010-ADM120 la Entidad señala que cumplieron con dicha solicitud mediante escrito de fecha 12 de enero de 2010, en el que se detallaban los antecedentes del caso incluidas las indagaciones preliminares realizadas por dicha institución, para que determine el trámite que se le debe dar a la misma. </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Mediante decreto de fecha 21 de julio de 2010, se le requiere por última vez a la Entidad, cumpla con subsanar la documentación solicitada debiendo remitir el Informe Técnico Legal complementario que contenga opinión de su asesoría, otorgándole el plazo de 05 días, bajo responsabilidad y apercibimiento de resolver con la documentación obrante en autos, comunicándose al Órgano de Control </w:t>
      </w:r>
      <w:r w:rsidRPr="005F4E34">
        <w:rPr>
          <w:rFonts w:ascii="Tahoma" w:hAnsi="Tahoma" w:cs="Tahoma"/>
          <w:sz w:val="20"/>
        </w:rPr>
        <w:lastRenderedPageBreak/>
        <w:t xml:space="preserve">Institucional de la Entidad al presente reiteración para los fines de Ley.  </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Con fecha 16 de septiembre de 2010, la Entidad cumple con remitir el Informe Técnico Legal Nº 0064-2010-JUR200 de fecha 15 de septiembre del mismo año.  </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Mediante decreto de fecha 21 de septiembre de 2010, se le requiere a la Entidad cumpla con subsanar su solicitud, debiendo remitir el Informe técnico legal correspondiente con el o los documentos supuestamente falsos o inexactos, otorgándole un plazo de 03 días, bajo responsabilidad y apercibimiento de resolver con la documentación existente en autos.  </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Con fecha 29 noviembre de 2010, la Entidad remite un escrito en el cual detalla los hechos ocurridos.</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Mediante decreto de fecha 30 de noviembre de 2010, se da inicio al procedimiento administrativo sancionador contra la empresa GRUPO ZONDA S.A.C., por su supuesta responsabilidad en la presentación como parte de su propuesta técnica del contrato de compra venta Nº 2008-014 de fecha 22 de diciembre de 2008 y el Acta de Conformidad del mes de febrero de 2009, documentos presentados bajo el marco de la Adjudicación de Menor Cuantía Nº 0109-2009-BCRPLIM (Primera Convocatoria), notificándose a la empresa denunciada para que dentro del plazo de diez (10) días hábiles cumpla con presentar sus descargos. </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Con fecha 03 de enero de 2011, el Postor cumple con presentar sus descargos señalando lo siguiente:</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7"/>
        </w:numPr>
        <w:jc w:val="both"/>
        <w:rPr>
          <w:rFonts w:ascii="Tahoma" w:hAnsi="Tahoma" w:cs="Tahoma"/>
          <w:sz w:val="20"/>
        </w:rPr>
      </w:pPr>
      <w:r w:rsidRPr="005F4E34">
        <w:rPr>
          <w:rFonts w:ascii="Tahoma" w:hAnsi="Tahoma" w:cs="Tahoma"/>
          <w:sz w:val="20"/>
        </w:rPr>
        <w:t>Respecto a la contratación con otra empresa del Grupo que tiene el mismo representante, no existe ningún conflicto de intereses, debido a que ambas empresas tiene sus propios estatutos y que en ellas existen las instancias pertinentes que pueden regular cualquier relación contractual.</w:t>
      </w:r>
    </w:p>
    <w:p w:rsidR="005F4E34" w:rsidRPr="005F4E34" w:rsidRDefault="005F4E34" w:rsidP="005F4E34">
      <w:pPr>
        <w:pStyle w:val="Prrafodelista"/>
        <w:ind w:left="927"/>
        <w:jc w:val="both"/>
        <w:rPr>
          <w:rFonts w:ascii="Tahoma" w:hAnsi="Tahoma" w:cs="Tahoma"/>
          <w:sz w:val="20"/>
        </w:rPr>
      </w:pPr>
    </w:p>
    <w:p w:rsidR="005F4E34" w:rsidRPr="005F4E34" w:rsidRDefault="005F4E34" w:rsidP="005F4E34">
      <w:pPr>
        <w:pStyle w:val="Prrafodelista"/>
        <w:numPr>
          <w:ilvl w:val="0"/>
          <w:numId w:val="7"/>
        </w:numPr>
        <w:jc w:val="both"/>
        <w:rPr>
          <w:rFonts w:ascii="Tahoma" w:hAnsi="Tahoma" w:cs="Tahoma"/>
          <w:sz w:val="20"/>
        </w:rPr>
      </w:pPr>
      <w:r w:rsidRPr="005F4E34">
        <w:rPr>
          <w:rFonts w:ascii="Tahoma" w:hAnsi="Tahoma" w:cs="Tahoma"/>
          <w:sz w:val="20"/>
        </w:rPr>
        <w:t>En lo concerniente, a la inexistencia de las importaciones de los arcos detectores de metal comprados y vendidos por las empresas de dicho grupo, indican que en efecto no se llegó a realizar la importación, debido a que la empresa ZONDA ADVANCE S.A.C. tenía múltiples compromisos, llevándose a cabo la entrega de los bienes fuera del Perú en merito de la utilización de un ICOTERM 2000 – FCA, que significa franco en el medio de transporte, en el cual se establece que el vendedor debe entregar la mercancía lista para su exportación al contratista en el lugar indicado en las condiciones de embarque, siendo pues este contrato se ha perfeccionado sin que existiera entrega de bienes en el Perú.</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7"/>
        </w:numPr>
        <w:jc w:val="both"/>
        <w:rPr>
          <w:rFonts w:ascii="Tahoma" w:hAnsi="Tahoma" w:cs="Tahoma"/>
          <w:sz w:val="20"/>
        </w:rPr>
      </w:pPr>
      <w:r w:rsidRPr="005F4E34">
        <w:rPr>
          <w:rFonts w:ascii="Tahoma" w:hAnsi="Tahoma" w:cs="Tahoma"/>
          <w:sz w:val="20"/>
        </w:rPr>
        <w:t xml:space="preserve">Por último, sobre el hecho de no haber presentado el referido contrato en otro proceso de selección para acreditar experiencia, puede haber sido por descuido de su parte o porque consideraban que la experiencia que acreditaban era suficiente o quizás por una elemental estrategia de no exponer todas sus ventas en cada proceso de selección, pues al conocer sus competidores el total de sus ventas, podrían medir con mas certeza el éxito de </w:t>
      </w:r>
      <w:r w:rsidRPr="005F4E34">
        <w:rPr>
          <w:rFonts w:ascii="Tahoma" w:hAnsi="Tahoma" w:cs="Tahoma"/>
          <w:sz w:val="20"/>
        </w:rPr>
        <w:lastRenderedPageBreak/>
        <w:t>su participación en el proceso, sin embargo a todo ello, el sólo hecho de no haber presentado antes el referido contrato no implica el que sea falso, como pretende hacer entender la empresa denunciante.</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Mediante decreto de fecha 06 de enero de 2011, se tiene por apersonada a la empresa GRUPO ZONDA S.A.C., remitiéndose el presente expediente a la Tercera Sala del Tribunal de Contrataciones del Estado para resolver, dejando en consideración de la misma el uso de la palabra. </w:t>
      </w:r>
    </w:p>
    <w:p w:rsidR="005F4E34" w:rsidRPr="005F4E34" w:rsidRDefault="005F4E34" w:rsidP="005F4E34">
      <w:pPr>
        <w:pStyle w:val="Prrafodelista"/>
        <w:ind w:left="567"/>
        <w:jc w:val="both"/>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pacing w:val="-2"/>
          <w:sz w:val="20"/>
          <w:lang w:val="es-PE"/>
        </w:rPr>
        <w:t xml:space="preserve">Mediante decreto de fecha 16 de febrero de 2011, se reasigna el presente expediente al Cuarta Sala del Tribunal de Contrataciones del Estado, en atención a la </w:t>
      </w:r>
      <w:proofErr w:type="spellStart"/>
      <w:r w:rsidRPr="005F4E34">
        <w:rPr>
          <w:rFonts w:ascii="Tahoma" w:hAnsi="Tahoma" w:cs="Tahoma"/>
          <w:spacing w:val="-2"/>
          <w:sz w:val="20"/>
          <w:lang w:val="es-PE"/>
        </w:rPr>
        <w:t>reconformación</w:t>
      </w:r>
      <w:proofErr w:type="spellEnd"/>
      <w:r w:rsidRPr="005F4E34">
        <w:rPr>
          <w:rFonts w:ascii="Tahoma" w:hAnsi="Tahoma" w:cs="Tahoma"/>
          <w:spacing w:val="-2"/>
          <w:sz w:val="20"/>
          <w:lang w:val="es-PE"/>
        </w:rPr>
        <w:t xml:space="preserve"> de las Salas del Tribunal realizadas por la  Resolución Nº </w:t>
      </w:r>
      <w:r w:rsidRPr="005F4E34">
        <w:rPr>
          <w:rFonts w:ascii="Tahoma" w:hAnsi="Tahoma" w:cs="Tahoma"/>
          <w:color w:val="000000"/>
          <w:sz w:val="20"/>
        </w:rPr>
        <w:t xml:space="preserve">103-2011-OSCE/PRE de fecha 15 de febrero del mismo año </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Mediante decreto de fecha 09 de marzo de 2011, se programa la Audiencia Pública para el día 16 del presente mes y año, a las 9:30 a.m.</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Con fecha 16 de marzo de 2011, se declara frustrada la Audiencia Pública programada para ese día a las 9:30 a.m.</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Mediante decreto de fecha 16 de marzo de 2011, se le solicita a la empresa GRUPO ZONDA S.A.C. remita copia de la </w:t>
      </w:r>
      <w:proofErr w:type="spellStart"/>
      <w:r w:rsidRPr="005F4E34">
        <w:rPr>
          <w:rFonts w:ascii="Tahoma" w:hAnsi="Tahoma" w:cs="Tahoma"/>
          <w:sz w:val="20"/>
        </w:rPr>
        <w:t>Addenda</w:t>
      </w:r>
      <w:proofErr w:type="spellEnd"/>
      <w:r w:rsidRPr="005F4E34">
        <w:rPr>
          <w:rFonts w:ascii="Tahoma" w:hAnsi="Tahoma" w:cs="Tahoma"/>
          <w:sz w:val="20"/>
        </w:rPr>
        <w:t xml:space="preserve"> del Contrato de Compra Venta Nº 2008-014, mediante la cual se realiza la modificación del lugar de entrega de la mercadería ofertada, así como la copia del certificado emitido por la empresa DFEI </w:t>
      </w:r>
      <w:proofErr w:type="spellStart"/>
      <w:r w:rsidRPr="005F4E34">
        <w:rPr>
          <w:rFonts w:ascii="Tahoma" w:hAnsi="Tahoma" w:cs="Tahoma"/>
          <w:sz w:val="20"/>
        </w:rPr>
        <w:t>Logistics</w:t>
      </w:r>
      <w:proofErr w:type="spellEnd"/>
      <w:r w:rsidRPr="005F4E34">
        <w:rPr>
          <w:rFonts w:ascii="Tahoma" w:hAnsi="Tahoma" w:cs="Tahoma"/>
          <w:sz w:val="20"/>
        </w:rPr>
        <w:t>, en el cual la citada empresa asegura que los equipos se encuentran bajo su custodia.</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ind w:left="567"/>
        <w:jc w:val="both"/>
        <w:rPr>
          <w:rFonts w:ascii="Tahoma" w:hAnsi="Tahoma" w:cs="Tahoma"/>
          <w:sz w:val="20"/>
        </w:rPr>
      </w:pPr>
      <w:r w:rsidRPr="005F4E34">
        <w:rPr>
          <w:rFonts w:ascii="Tahoma" w:hAnsi="Tahoma" w:cs="Tahoma"/>
          <w:sz w:val="20"/>
        </w:rPr>
        <w:t>Debiéndose pronunciar sobre lo señalado en el último párrafo del Acta de Conformidad de fecha 28 de febrero de 2009, otorgándole un plazo de 02 días hábiles, para cumplir con todos los requerimientos. El cual a la fecha no ha sido atendido.</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Con fecha 30 de marzo de 2011, mediante Resolución Nº 561-2011-TC-S4 la Cuarta Sala del Tribunal de Contrataciones del Estado, resuelve imponer a la empresa GRUPO ZONDA S.A.C., sanción administrativa de inhabilitación temporal por un periodo de doce meses en sus derechos de participar en procesos de selección a partir del sexto día hábil de notificada la misma. </w:t>
      </w:r>
    </w:p>
    <w:p w:rsidR="005F4E34" w:rsidRPr="005F4E34" w:rsidRDefault="005F4E34" w:rsidP="005F4E34">
      <w:pPr>
        <w:pStyle w:val="Prrafodelista"/>
        <w:ind w:left="567"/>
        <w:jc w:val="both"/>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El 08 de abril de 2011 y subsanado el 12 del mismo mes y año, el Postor interpone recurso de reconsideración contra la Resolución Nº 561-2011-TC-S4, solicitando se revoque la decisión adoptada, declarando fundada la misma o en todo caso se declare la nulidad de dicho procedimiento administrativo sancionador debido que no se les notificó la clave de acceso que les hubiera permitido hacer el seguimiento debido.</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 xml:space="preserve">Mediante decreto de fecha 13 de abril de 2011, se admite a trámite el recurso de reconsideración, dejándose a consideración de la sala el uso de la palabra efectuada por el recurrente, remitiéndose el presente expediente a la Cuarta Sala </w:t>
      </w:r>
      <w:r w:rsidRPr="005F4E34">
        <w:rPr>
          <w:rFonts w:ascii="Tahoma" w:hAnsi="Tahoma" w:cs="Tahoma"/>
          <w:sz w:val="20"/>
        </w:rPr>
        <w:lastRenderedPageBreak/>
        <w:t>del Tribunal para que resuelva.</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Mediante decreto de fecha 19 de abril de 2011, se programa la Audiencia Pública para el día 28 de abril de 2011 a las 9:30 a.m.</w:t>
      </w:r>
    </w:p>
    <w:p w:rsidR="005F4E34" w:rsidRPr="005F4E34" w:rsidRDefault="005F4E34" w:rsidP="005F4E34">
      <w:pPr>
        <w:pStyle w:val="Prrafodelista"/>
        <w:rPr>
          <w:rFonts w:ascii="Tahoma" w:hAnsi="Tahoma" w:cs="Tahoma"/>
          <w:sz w:val="20"/>
        </w:rPr>
      </w:pPr>
    </w:p>
    <w:p w:rsidR="005F4E34" w:rsidRPr="005F4E34" w:rsidRDefault="005F4E34" w:rsidP="005F4E34">
      <w:pPr>
        <w:pStyle w:val="Prrafodelista"/>
        <w:numPr>
          <w:ilvl w:val="0"/>
          <w:numId w:val="3"/>
        </w:numPr>
        <w:ind w:left="567" w:hanging="567"/>
        <w:jc w:val="both"/>
        <w:rPr>
          <w:rFonts w:ascii="Tahoma" w:hAnsi="Tahoma" w:cs="Tahoma"/>
          <w:sz w:val="20"/>
        </w:rPr>
      </w:pPr>
      <w:r w:rsidRPr="005F4E34">
        <w:rPr>
          <w:rFonts w:ascii="Tahoma" w:hAnsi="Tahoma" w:cs="Tahoma"/>
          <w:sz w:val="20"/>
        </w:rPr>
        <w:t>El 28 de abril de 2011, se declara frustrada la Audiencia Pública por inasistencia de las partes.</w:t>
      </w:r>
    </w:p>
    <w:p w:rsidR="005F4E34" w:rsidRDefault="005F4E34" w:rsidP="005F4E34">
      <w:pPr>
        <w:spacing w:after="0" w:line="240" w:lineRule="auto"/>
        <w:rPr>
          <w:rFonts w:ascii="Tahoma" w:hAnsi="Tahoma" w:cs="Tahoma"/>
          <w:sz w:val="20"/>
          <w:szCs w:val="20"/>
          <w:lang w:eastAsia="es-PE"/>
        </w:rPr>
      </w:pPr>
    </w:p>
    <w:p w:rsidR="005F4E34" w:rsidRPr="002F02A7" w:rsidRDefault="005F4E34" w:rsidP="005F4E34">
      <w:pPr>
        <w:spacing w:after="0" w:line="240" w:lineRule="auto"/>
        <w:rPr>
          <w:rFonts w:ascii="Tahoma" w:hAnsi="Tahoma" w:cs="Tahoma"/>
          <w:sz w:val="20"/>
          <w:szCs w:val="20"/>
          <w:lang w:eastAsia="es-PE"/>
        </w:rPr>
      </w:pPr>
    </w:p>
    <w:p w:rsidR="005F4E34" w:rsidRPr="002F02A7" w:rsidRDefault="005F4E34" w:rsidP="005F4E34">
      <w:pPr>
        <w:tabs>
          <w:tab w:val="num" w:pos="9720"/>
        </w:tabs>
        <w:spacing w:after="0" w:line="240" w:lineRule="auto"/>
        <w:jc w:val="both"/>
        <w:rPr>
          <w:rFonts w:ascii="Tahoma" w:hAnsi="Tahoma" w:cs="Tahoma"/>
          <w:b/>
          <w:sz w:val="20"/>
          <w:szCs w:val="20"/>
        </w:rPr>
      </w:pPr>
      <w:r w:rsidRPr="002F02A7">
        <w:rPr>
          <w:rFonts w:ascii="Tahoma" w:hAnsi="Tahoma" w:cs="Tahoma"/>
          <w:b/>
          <w:sz w:val="20"/>
          <w:szCs w:val="20"/>
        </w:rPr>
        <w:t>FUNDAMENTACIÓN:</w:t>
      </w:r>
    </w:p>
    <w:p w:rsidR="005F4E34" w:rsidRPr="002F02A7" w:rsidRDefault="005F4E34" w:rsidP="005F4E34">
      <w:pPr>
        <w:tabs>
          <w:tab w:val="num" w:pos="9720"/>
        </w:tabs>
        <w:spacing w:after="0" w:line="240" w:lineRule="auto"/>
        <w:jc w:val="both"/>
        <w:rPr>
          <w:rFonts w:ascii="Tahoma" w:hAnsi="Tahoma" w:cs="Tahoma"/>
          <w:b/>
          <w:sz w:val="20"/>
          <w:szCs w:val="20"/>
        </w:rPr>
      </w:pP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El recurso de reconsideración en los procedimientos administrativos sancionadores a cargo del Tribunal ha sido regulado en el artículo 249 del Reglamento de la Ley de Contrataciones del Estado, aprobado por Decreto Supremo № 184-2008-EF, a cuyo tenor aquél debe ser interpuesto dentro de los cinco días hábiles siguientes de la notificación o la publicación de la resolución que impone la sanción y resuelto en el término de quince días hábiles improrrogables desde su presentación, sin observaciones o subsanado el recurso.</w:t>
      </w:r>
    </w:p>
    <w:p w:rsidR="005F4E34" w:rsidRPr="005F4E34" w:rsidRDefault="005F4E34" w:rsidP="005F4E34">
      <w:pPr>
        <w:pStyle w:val="Textoindependiente"/>
        <w:tabs>
          <w:tab w:val="left" w:pos="0"/>
        </w:tabs>
        <w:ind w:left="567"/>
        <w:rPr>
          <w:rFonts w:cs="Tahoma"/>
          <w:sz w:val="20"/>
        </w:rPr>
      </w:pP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 xml:space="preserve">En el caso de autos, la empresa GRUPO ZONDA S.A.C. ha planteado recurso de reconsideración contra la Resolución № 561-2011-TC-S4 del 30 de marzo de 2011, mediante la cual el Tribunal le impuso sanción administrativa de inhabilitación temporal por el periodo de doce (12) meses en sus derechos para participar en procesos de selección y contratar con el Estado, al haberse determinado su responsabilidad por haber </w:t>
      </w:r>
      <w:r w:rsidRPr="005F4E34">
        <w:rPr>
          <w:rFonts w:cs="Tahoma"/>
          <w:sz w:val="20"/>
          <w:lang w:val="es-PE"/>
        </w:rPr>
        <w:t>presentado como parte de su Propuesta Técnica</w:t>
      </w:r>
      <w:r w:rsidRPr="005F4E34">
        <w:rPr>
          <w:rFonts w:cs="Tahoma"/>
          <w:sz w:val="20"/>
        </w:rPr>
        <w:t xml:space="preserve"> el </w:t>
      </w:r>
      <w:r w:rsidRPr="005F4E34">
        <w:rPr>
          <w:rFonts w:cs="Tahoma"/>
          <w:i/>
          <w:sz w:val="20"/>
          <w:lang w:val="es-MX"/>
        </w:rPr>
        <w:t>“</w:t>
      </w:r>
      <w:r w:rsidRPr="005F4E34">
        <w:rPr>
          <w:rFonts w:cs="Tahoma"/>
          <w:sz w:val="20"/>
          <w:lang w:val="es-MX"/>
        </w:rPr>
        <w:t>Acta de Conformidad”,</w:t>
      </w:r>
      <w:r w:rsidRPr="005F4E34">
        <w:rPr>
          <w:rFonts w:cs="Tahoma"/>
          <w:i/>
          <w:sz w:val="20"/>
          <w:lang w:val="es-MX"/>
        </w:rPr>
        <w:t xml:space="preserve"> </w:t>
      </w:r>
      <w:r w:rsidRPr="005F4E34">
        <w:rPr>
          <w:rFonts w:cs="Tahoma"/>
          <w:sz w:val="20"/>
        </w:rPr>
        <w:t xml:space="preserve">donde señalaba que </w:t>
      </w:r>
      <w:r w:rsidRPr="005F4E34">
        <w:rPr>
          <w:rFonts w:cs="Tahoma"/>
          <w:sz w:val="20"/>
          <w:lang w:val="es-PE"/>
        </w:rPr>
        <w:t>la mercadería había sido recibida por la empresa ZONDA ADVANCE S.A.C. en la ciudad de San Isidro el día 28 de febrero del año 2009, teniendo en consideración que no se había realizado ninguna importación del producto ofertado a nuestro país en esa época</w:t>
      </w:r>
      <w:r w:rsidRPr="005F4E34">
        <w:rPr>
          <w:rFonts w:cs="Tahoma"/>
          <w:sz w:val="20"/>
        </w:rPr>
        <w:t xml:space="preserve">, siendo además esta corroborada por los descargos presentados por la empresa denunciada, razón por la cual se </w:t>
      </w:r>
      <w:r w:rsidRPr="005F4E34">
        <w:rPr>
          <w:rFonts w:cs="Tahoma"/>
          <w:sz w:val="20"/>
          <w:lang w:val="es-PE"/>
        </w:rPr>
        <w:t xml:space="preserve">determinó la responsabilidad de la misma, </w:t>
      </w:r>
      <w:r w:rsidRPr="005F4E34">
        <w:rPr>
          <w:rFonts w:cs="Tahoma"/>
          <w:sz w:val="20"/>
        </w:rPr>
        <w:t>infracción tipificada en el numeral 9) del artículo 294 del Reglamento de la Ley de Contrataciones y Adquisiciones del Estado, aprobado mediante Decreto Supremo № 084-2004-PCM</w:t>
      </w:r>
      <w:r w:rsidRPr="005F4E34">
        <w:rPr>
          <w:rStyle w:val="Refdenotaalpie"/>
          <w:rFonts w:cs="Tahoma"/>
          <w:sz w:val="20"/>
        </w:rPr>
        <w:footnoteReference w:id="2"/>
      </w:r>
      <w:r w:rsidRPr="005F4E34">
        <w:rPr>
          <w:rFonts w:cs="Tahoma"/>
          <w:sz w:val="20"/>
        </w:rPr>
        <w:t xml:space="preserve">. </w:t>
      </w:r>
    </w:p>
    <w:p w:rsidR="005F4E34" w:rsidRPr="005F4E34" w:rsidRDefault="005F4E34" w:rsidP="005F4E34">
      <w:pPr>
        <w:pStyle w:val="Prrafodelista"/>
        <w:rPr>
          <w:rFonts w:ascii="Tahoma" w:hAnsi="Tahoma" w:cs="Tahoma"/>
          <w:sz w:val="20"/>
        </w:rPr>
      </w:pP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Previamente, este Colegiado debe analizar si el recurso materia de estudio ha sido interpuesto oportunamente, es decir, dentro del plazo señalado expresamente en la normativa precitada.</w:t>
      </w:r>
    </w:p>
    <w:p w:rsidR="005F4E34" w:rsidRPr="005F4E34" w:rsidRDefault="005F4E34" w:rsidP="005F4E34">
      <w:pPr>
        <w:pStyle w:val="Prrafodelista"/>
        <w:rPr>
          <w:rFonts w:ascii="Tahoma" w:hAnsi="Tahoma" w:cs="Tahoma"/>
          <w:sz w:val="20"/>
        </w:rPr>
      </w:pP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 xml:space="preserve">Al respecto, de los actuados se advierte que la recurrida fue notificada a la  impugnante el 01 de abril de 2011, con lo cual aquella contaba hasta el 08 de abril </w:t>
      </w:r>
      <w:r w:rsidRPr="005F4E34">
        <w:rPr>
          <w:rFonts w:cs="Tahoma"/>
          <w:sz w:val="20"/>
        </w:rPr>
        <w:lastRenderedPageBreak/>
        <w:t xml:space="preserve">de 2011 para cuestionarla en vía de reconsideración, siendo ingresado el presente recurso a la Mesa de Partes del Tribunal de Contrataciones del Estado con fecha 08 de abril de 2011 y subsanado el 12 del mismo mes y año.   </w:t>
      </w:r>
    </w:p>
    <w:p w:rsidR="005F4E34" w:rsidRPr="005F4E34" w:rsidRDefault="005F4E34" w:rsidP="005F4E34">
      <w:pPr>
        <w:pStyle w:val="Prrafodelista"/>
        <w:rPr>
          <w:rFonts w:ascii="Tahoma" w:hAnsi="Tahoma" w:cs="Tahoma"/>
          <w:sz w:val="20"/>
        </w:rPr>
      </w:pP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De esta manera, se ha corroborado que efectivamente aquél recurso administrativo fue presentado dentro del plazo previsto y, por ende, corresponde tenerlo por procedente y examinar el fondo del asunto cuestionado.</w:t>
      </w:r>
    </w:p>
    <w:p w:rsidR="005F4E34" w:rsidRPr="005F4E34" w:rsidRDefault="005F4E34" w:rsidP="005F4E34">
      <w:pPr>
        <w:pStyle w:val="Prrafodelista"/>
        <w:rPr>
          <w:rFonts w:ascii="Tahoma" w:hAnsi="Tahoma" w:cs="Tahoma"/>
          <w:sz w:val="20"/>
        </w:rPr>
      </w:pPr>
    </w:p>
    <w:p w:rsidR="005F4E34" w:rsidRPr="005F4E34" w:rsidRDefault="005F4E34" w:rsidP="005F4E34">
      <w:pPr>
        <w:pStyle w:val="Textoindependiente"/>
        <w:numPr>
          <w:ilvl w:val="0"/>
          <w:numId w:val="1"/>
        </w:numPr>
        <w:tabs>
          <w:tab w:val="clear" w:pos="1080"/>
          <w:tab w:val="left" w:pos="0"/>
        </w:tabs>
        <w:ind w:left="567" w:hanging="567"/>
        <w:rPr>
          <w:sz w:val="20"/>
        </w:rPr>
      </w:pPr>
      <w:r w:rsidRPr="005F4E34">
        <w:rPr>
          <w:rFonts w:cs="Tahoma"/>
          <w:sz w:val="20"/>
        </w:rPr>
        <w:t xml:space="preserve">En el presente recurso, la empresa GRUPO ZONDA S.A.C. ha solicitado se deje sin efecto la resolución recurrida y como consecuencia se levante la sanción impuesta, porque la supuesta inexactitud existente en el </w:t>
      </w:r>
      <w:r w:rsidRPr="005F4E34">
        <w:rPr>
          <w:rFonts w:cs="Tahoma"/>
          <w:i/>
          <w:sz w:val="20"/>
          <w:lang w:val="es-MX"/>
        </w:rPr>
        <w:t>“</w:t>
      </w:r>
      <w:r w:rsidRPr="005F4E34">
        <w:rPr>
          <w:rFonts w:cs="Tahoma"/>
          <w:sz w:val="20"/>
          <w:lang w:val="es-MX"/>
        </w:rPr>
        <w:t xml:space="preserve">Acta de Conformidad” </w:t>
      </w:r>
      <w:r w:rsidRPr="005F4E34">
        <w:rPr>
          <w:rFonts w:cs="Tahoma"/>
          <w:sz w:val="20"/>
        </w:rPr>
        <w:t xml:space="preserve">presentado como parte de su propuesta técnica no es plausible de sanción, ya que la dirección consignada en dicho documento se refiere al sitio donde se suscribió el mismo y no al lugar de entrega de la mercadería, ya que dicho documento se habría elaborado para la negociación de una carta de crédito para la importación del bien. </w:t>
      </w:r>
    </w:p>
    <w:p w:rsidR="005F4E34" w:rsidRPr="005F4E34" w:rsidRDefault="005F4E34" w:rsidP="005F4E34">
      <w:pPr>
        <w:pStyle w:val="Textoindependiente"/>
        <w:tabs>
          <w:tab w:val="left" w:pos="0"/>
        </w:tabs>
        <w:rPr>
          <w:sz w:val="20"/>
        </w:rPr>
      </w:pP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En los numerales 1 y 2 de la fundamentación de la resolución recurrida, se establece de manera clara lo que se requiere para que se configure la infracción tipificada en el numeral 9) del artículo 294 del Reglamento de la Ley de Contrataciones y Adquisiciones del Estado, aprobado mediante Decreto Supremo № 084-2004-PCM, señalando lo siguiente:</w:t>
      </w:r>
    </w:p>
    <w:p w:rsidR="005F4E34" w:rsidRPr="005F4E34" w:rsidRDefault="005F4E34" w:rsidP="005F4E34">
      <w:pPr>
        <w:pStyle w:val="Prrafodelista"/>
        <w:rPr>
          <w:rFonts w:ascii="Tahoma" w:hAnsi="Tahoma" w:cs="Tahoma"/>
          <w:sz w:val="20"/>
        </w:rPr>
      </w:pPr>
    </w:p>
    <w:p w:rsidR="005F4E34" w:rsidRPr="005F4E34" w:rsidRDefault="005F4E34" w:rsidP="005F4E34">
      <w:pPr>
        <w:pStyle w:val="Textoindependiente"/>
        <w:tabs>
          <w:tab w:val="left" w:pos="2410"/>
        </w:tabs>
        <w:ind w:left="993"/>
        <w:rPr>
          <w:rFonts w:cs="Tahoma"/>
          <w:i/>
          <w:sz w:val="20"/>
          <w:lang w:val="es-PE"/>
        </w:rPr>
      </w:pPr>
      <w:r w:rsidRPr="005F4E34">
        <w:rPr>
          <w:rFonts w:cs="Tahoma"/>
          <w:i/>
          <w:sz w:val="20"/>
        </w:rPr>
        <w:t xml:space="preserve">“1. Es materia del presente procedimiento administrativo la supuesta responsabilidad de la empresa GRUPO ZONDA S.A.C. en la presentación de documentación falsa y/o inexacta como parte de su propuesta técnica, bajo el marco de la Adjudicación de Menor Cuantía Nº 0109-2009-BCRPLIM (Primera Convocatoria), para la Adquisición de Arcos detectores de metales, infracción tipificada en el literal i) del artículo 51 de la Ley de Contrataciones del Estado, aprobada por Decreto Legislativo Nº 1017, en lo sucesivo la Ley, concordante con el literal i) del numeral 1 del artículo 237 del Reglamento de la Ley de Contrataciones y Adquisiciones del Estado, aprobado mediante Decreto Supremo № 184-2008-EF, normas vigentes al momento de la ocurrencia de los hechos. </w:t>
      </w:r>
    </w:p>
    <w:p w:rsidR="005F4E34" w:rsidRPr="005F4E34" w:rsidRDefault="005F4E34" w:rsidP="005F4E34">
      <w:pPr>
        <w:pStyle w:val="Textoindependiente"/>
        <w:tabs>
          <w:tab w:val="left" w:pos="2410"/>
        </w:tabs>
        <w:ind w:left="540"/>
        <w:rPr>
          <w:rFonts w:cs="Tahoma"/>
          <w:i/>
          <w:sz w:val="20"/>
          <w:lang w:val="es-PE"/>
        </w:rPr>
      </w:pPr>
    </w:p>
    <w:p w:rsidR="005F4E34" w:rsidRPr="005F4E34" w:rsidRDefault="005F4E34" w:rsidP="005F4E34">
      <w:pPr>
        <w:pStyle w:val="Textoindependiente"/>
        <w:tabs>
          <w:tab w:val="left" w:pos="2410"/>
        </w:tabs>
        <w:ind w:left="993"/>
        <w:rPr>
          <w:rFonts w:cs="Tahoma"/>
          <w:i/>
          <w:sz w:val="20"/>
          <w:lang w:val="es-PE"/>
        </w:rPr>
      </w:pPr>
      <w:r w:rsidRPr="005F4E34">
        <w:rPr>
          <w:rFonts w:cs="Tahoma"/>
          <w:i/>
          <w:sz w:val="20"/>
          <w:lang w:val="es-MX"/>
        </w:rPr>
        <w:t>2. Al respecto, debe tenerse presente que, p</w:t>
      </w:r>
      <w:r w:rsidRPr="005F4E34">
        <w:rPr>
          <w:rFonts w:cs="Tahoma"/>
          <w:i/>
          <w:sz w:val="20"/>
        </w:rPr>
        <w:t xml:space="preserve">ara la configuración del supuesto de hecho de la norma que contiene la infracción imputada, se requiere previamente acreditar la falsedad del documento cuestionado, es decir que éste no haya sido expedido por el órgano emisor correspondiente o que, siendo válidamente expedido, haya sido adulterado en su contenido. </w:t>
      </w:r>
    </w:p>
    <w:p w:rsidR="005F4E34" w:rsidRPr="005F4E34" w:rsidRDefault="005F4E34" w:rsidP="005F4E34">
      <w:pPr>
        <w:pStyle w:val="Prrafodelista"/>
        <w:rPr>
          <w:rFonts w:ascii="Tahoma" w:hAnsi="Tahoma" w:cs="Tahoma"/>
          <w:i/>
          <w:sz w:val="20"/>
        </w:rPr>
      </w:pPr>
    </w:p>
    <w:p w:rsidR="005F4E34" w:rsidRPr="005F4E34" w:rsidRDefault="005F4E34" w:rsidP="005F4E34">
      <w:pPr>
        <w:pStyle w:val="Textoindependiente"/>
        <w:tabs>
          <w:tab w:val="left" w:pos="2410"/>
        </w:tabs>
        <w:ind w:left="993"/>
        <w:rPr>
          <w:rFonts w:cs="Tahoma"/>
          <w:i/>
          <w:sz w:val="20"/>
          <w:lang w:val="es-PE"/>
        </w:rPr>
      </w:pPr>
      <w:r w:rsidRPr="005F4E34">
        <w:rPr>
          <w:rFonts w:cs="Tahoma"/>
          <w:i/>
          <w:sz w:val="20"/>
        </w:rPr>
        <w:t xml:space="preserve">Por otro lado, la infracción referida a información inexacta se configura ante la presentación de declaraciones no concordantes con la realidad, que constituye una forma de falseamiento de la misma, a través del quebrantamiento de los principios de moralidad y presunción de veracidad que amparan dicha información, de conformidad con el literal i) del artículo 51 de la Ley de Contrataciones del Estado, aprobada por Decreto Legislativo Nº 1017 y el numeral 1.7 del Artículo IV del Título Preliminar y el artículo 42 de la Ley № </w:t>
      </w:r>
      <w:r w:rsidRPr="005F4E34">
        <w:rPr>
          <w:rFonts w:cs="Tahoma"/>
          <w:i/>
          <w:sz w:val="20"/>
        </w:rPr>
        <w:lastRenderedPageBreak/>
        <w:t>27444, del Procedimiento Administrativo General</w:t>
      </w:r>
      <w:r w:rsidRPr="005F4E34">
        <w:rPr>
          <w:rStyle w:val="Refdenotaalpie"/>
          <w:rFonts w:cs="Tahoma"/>
          <w:i/>
          <w:sz w:val="20"/>
        </w:rPr>
        <w:footnoteReference w:id="3"/>
      </w:r>
      <w:r w:rsidRPr="005F4E34">
        <w:rPr>
          <w:rFonts w:cs="Tahoma"/>
          <w:i/>
          <w:sz w:val="20"/>
        </w:rPr>
        <w:t>.”</w:t>
      </w:r>
    </w:p>
    <w:p w:rsidR="005F4E34" w:rsidRPr="005F4E34" w:rsidRDefault="005F4E34" w:rsidP="005F4E34">
      <w:pPr>
        <w:rPr>
          <w:rFonts w:ascii="Tahoma" w:hAnsi="Tahoma" w:cs="Tahoma"/>
          <w:sz w:val="20"/>
          <w:szCs w:val="20"/>
          <w:lang w:val="es-PE"/>
        </w:rPr>
      </w:pPr>
    </w:p>
    <w:p w:rsidR="005F4E34" w:rsidRPr="005F4E34" w:rsidRDefault="005F4E34" w:rsidP="005F4E34">
      <w:pPr>
        <w:pStyle w:val="Prrafodelista"/>
        <w:numPr>
          <w:ilvl w:val="0"/>
          <w:numId w:val="1"/>
        </w:numPr>
        <w:tabs>
          <w:tab w:val="clear" w:pos="1080"/>
          <w:tab w:val="num" w:pos="426"/>
        </w:tabs>
        <w:ind w:left="426" w:hanging="426"/>
        <w:jc w:val="both"/>
        <w:rPr>
          <w:rFonts w:ascii="Tahoma" w:hAnsi="Tahoma" w:cs="Tahoma"/>
          <w:sz w:val="20"/>
          <w:lang w:val="es-PE"/>
        </w:rPr>
      </w:pPr>
      <w:r w:rsidRPr="005F4E34">
        <w:rPr>
          <w:rFonts w:ascii="Tahoma" w:hAnsi="Tahoma" w:cs="Tahoma"/>
          <w:sz w:val="20"/>
        </w:rPr>
        <w:t xml:space="preserve">De igual forma, respecto a lo señalado por la recurrente sobre el error en el que se habría incurrido al haber determinado que </w:t>
      </w:r>
      <w:r w:rsidRPr="005F4E34">
        <w:rPr>
          <w:rFonts w:ascii="Tahoma" w:hAnsi="Tahoma" w:cs="Tahoma"/>
          <w:sz w:val="20"/>
          <w:lang w:val="es-PE"/>
        </w:rPr>
        <w:t>la dirección consignada en dicho documento era la del lugar de entrega de los bienes y no la de la suscripción del mismo, tenemos que señalar que</w:t>
      </w:r>
      <w:r w:rsidRPr="005F4E34">
        <w:rPr>
          <w:rFonts w:ascii="Tahoma" w:hAnsi="Tahoma" w:cs="Tahoma"/>
          <w:sz w:val="20"/>
        </w:rPr>
        <w:t xml:space="preserve"> sobre la información inexacta observada </w:t>
      </w:r>
      <w:r w:rsidRPr="005F4E34">
        <w:rPr>
          <w:rFonts w:ascii="Tahoma" w:hAnsi="Tahoma" w:cs="Tahoma"/>
          <w:sz w:val="20"/>
          <w:lang w:val="es-PE"/>
        </w:rPr>
        <w:t>en el “Acta de Conformidad”, este Colegiado se pronunció en los numerales 8 y 9 de la fundamentación de la resolución recurrida sobre dicho argumento, señalando lo siguiente:</w:t>
      </w:r>
    </w:p>
    <w:p w:rsidR="005F4E34" w:rsidRPr="005F4E34" w:rsidRDefault="005F4E34" w:rsidP="005F4E34">
      <w:pPr>
        <w:pStyle w:val="Prrafodelista"/>
        <w:rPr>
          <w:rFonts w:ascii="Tahoma" w:hAnsi="Tahoma" w:cs="Tahoma"/>
          <w:sz w:val="20"/>
          <w:lang w:val="es-PE"/>
        </w:rPr>
      </w:pPr>
    </w:p>
    <w:p w:rsidR="005F4E34" w:rsidRPr="005F4E34" w:rsidRDefault="005F4E34" w:rsidP="005F4E34">
      <w:pPr>
        <w:pStyle w:val="Textoindependiente"/>
        <w:tabs>
          <w:tab w:val="left" w:pos="2410"/>
        </w:tabs>
        <w:ind w:left="993"/>
        <w:rPr>
          <w:rFonts w:cs="Tahoma"/>
          <w:i/>
          <w:sz w:val="20"/>
          <w:lang w:val="es-PE"/>
        </w:rPr>
      </w:pPr>
      <w:r w:rsidRPr="005F4E34">
        <w:rPr>
          <w:rFonts w:cs="Tahoma"/>
          <w:i/>
          <w:sz w:val="20"/>
          <w:lang w:val="es-PE"/>
        </w:rPr>
        <w:t>“8. Al respecto, de acuerdo al análisis de la documentación obrante en el presente expediente, se tiene que determinar que el “Acta de Conformidad” de fecha 28 de febrero de 2009, contiene información no concordante con la realidad, en consideración de los descargos presentados por el Postor y  lo expuesto en el último párrafo de dicha Acta.</w:t>
      </w:r>
    </w:p>
    <w:p w:rsidR="005F4E34" w:rsidRPr="005F4E34" w:rsidRDefault="005F4E34" w:rsidP="005F4E34">
      <w:pPr>
        <w:pStyle w:val="Prrafodelista"/>
        <w:rPr>
          <w:rFonts w:ascii="Tahoma" w:hAnsi="Tahoma" w:cs="Tahoma"/>
          <w:i/>
          <w:sz w:val="20"/>
        </w:rPr>
      </w:pPr>
    </w:p>
    <w:p w:rsidR="005F4E34" w:rsidRPr="005F4E34" w:rsidRDefault="005F4E34" w:rsidP="005F4E34">
      <w:pPr>
        <w:pStyle w:val="Textoindependiente"/>
        <w:tabs>
          <w:tab w:val="left" w:pos="2410"/>
        </w:tabs>
        <w:ind w:left="993"/>
        <w:rPr>
          <w:rFonts w:cs="Tahoma"/>
          <w:i/>
          <w:sz w:val="20"/>
        </w:rPr>
      </w:pPr>
      <w:r w:rsidRPr="005F4E34">
        <w:rPr>
          <w:rFonts w:cs="Tahoma"/>
          <w:i/>
          <w:sz w:val="20"/>
        </w:rPr>
        <w:t>9. Así pues, en el Acta de Conformidad de fecha 28 de febrero de 2009, se  indicó lo siguiente:</w:t>
      </w:r>
    </w:p>
    <w:p w:rsidR="005F4E34" w:rsidRPr="005F4E34" w:rsidRDefault="005F4E34" w:rsidP="005F4E34">
      <w:pPr>
        <w:pStyle w:val="Textoindependiente"/>
        <w:tabs>
          <w:tab w:val="left" w:pos="2410"/>
        </w:tabs>
        <w:ind w:left="540"/>
        <w:rPr>
          <w:rFonts w:cs="Tahoma"/>
          <w:i/>
          <w:sz w:val="20"/>
        </w:rPr>
      </w:pPr>
    </w:p>
    <w:p w:rsidR="005F4E34" w:rsidRDefault="005F4E34" w:rsidP="005F4E34">
      <w:pPr>
        <w:pStyle w:val="Textoindependiente"/>
        <w:tabs>
          <w:tab w:val="left" w:pos="2410"/>
        </w:tabs>
        <w:ind w:left="993"/>
        <w:rPr>
          <w:rFonts w:cs="Tahoma"/>
          <w:i/>
          <w:sz w:val="20"/>
          <w:lang w:val="es-PE"/>
        </w:rPr>
      </w:pPr>
      <w:r w:rsidRPr="005F4E34">
        <w:rPr>
          <w:rFonts w:cs="Tahoma"/>
          <w:i/>
          <w:sz w:val="20"/>
          <w:lang w:val="es-PE"/>
        </w:rPr>
        <w:t>(…)</w:t>
      </w:r>
    </w:p>
    <w:p w:rsidR="005F4E34" w:rsidRPr="005F4E34" w:rsidRDefault="005F4E34" w:rsidP="005F4E34">
      <w:pPr>
        <w:pStyle w:val="Textoindependiente"/>
        <w:tabs>
          <w:tab w:val="left" w:pos="2410"/>
        </w:tabs>
        <w:ind w:left="993"/>
        <w:rPr>
          <w:rFonts w:cs="Tahoma"/>
          <w:i/>
          <w:sz w:val="20"/>
          <w:lang w:val="es-PE"/>
        </w:rPr>
      </w:pPr>
    </w:p>
    <w:p w:rsidR="005F4E34" w:rsidRPr="005F4E34" w:rsidRDefault="005F4E34" w:rsidP="005F4E34">
      <w:pPr>
        <w:ind w:left="993"/>
        <w:jc w:val="both"/>
        <w:rPr>
          <w:rFonts w:ascii="Tahoma" w:hAnsi="Tahoma" w:cs="Tahoma"/>
          <w:i/>
          <w:sz w:val="20"/>
          <w:szCs w:val="20"/>
          <w:lang w:val="es-PE"/>
        </w:rPr>
      </w:pPr>
      <w:r w:rsidRPr="005F4E34">
        <w:rPr>
          <w:rFonts w:ascii="Tahoma" w:hAnsi="Tahoma" w:cs="Tahoma"/>
          <w:i/>
          <w:sz w:val="20"/>
          <w:szCs w:val="20"/>
          <w:lang w:val="es-PE"/>
        </w:rPr>
        <w:t>“En consecuencia,</w:t>
      </w:r>
      <w:r w:rsidRPr="005F4E34">
        <w:rPr>
          <w:rFonts w:ascii="Tahoma" w:hAnsi="Tahoma" w:cs="Tahoma"/>
          <w:b/>
          <w:i/>
          <w:sz w:val="20"/>
          <w:szCs w:val="20"/>
          <w:lang w:val="es-PE"/>
        </w:rPr>
        <w:t xml:space="preserve"> </w:t>
      </w:r>
      <w:r w:rsidRPr="005F4E34">
        <w:rPr>
          <w:rFonts w:ascii="Tahoma" w:hAnsi="Tahoma" w:cs="Tahoma"/>
          <w:i/>
          <w:sz w:val="20"/>
          <w:szCs w:val="20"/>
          <w:lang w:val="es-PE"/>
        </w:rPr>
        <w:t>firman el presente documento el Gerente General de la empresa ZONDA ADVANCE S.A.C. y el Gerente General de GRUPO ZONDA S.A.C.</w:t>
      </w:r>
      <w:r w:rsidRPr="005F4E34">
        <w:rPr>
          <w:rFonts w:ascii="Tahoma" w:hAnsi="Tahoma" w:cs="Tahoma"/>
          <w:b/>
          <w:i/>
          <w:sz w:val="20"/>
          <w:szCs w:val="20"/>
          <w:lang w:val="es-PE"/>
        </w:rPr>
        <w:t xml:space="preserve">, como señal de conformidad de la mercadería recibida por la empresa ZONDA ADVANCE S.A.C. en la ciudad de San Isidro a las 12:00 horas del día 28 de febrero del año 2009.” </w:t>
      </w:r>
      <w:r w:rsidRPr="005F4E34">
        <w:rPr>
          <w:rFonts w:ascii="Tahoma" w:hAnsi="Tahoma" w:cs="Tahoma"/>
          <w:i/>
          <w:sz w:val="20"/>
          <w:szCs w:val="20"/>
          <w:lang w:val="es-PE"/>
        </w:rPr>
        <w:t>(…)</w:t>
      </w:r>
    </w:p>
    <w:p w:rsidR="005F4E34" w:rsidRPr="005F4E34" w:rsidRDefault="005F4E34" w:rsidP="00180EF6">
      <w:pPr>
        <w:pStyle w:val="Textoindependiente"/>
        <w:tabs>
          <w:tab w:val="left" w:pos="2410"/>
        </w:tabs>
        <w:ind w:left="993"/>
        <w:rPr>
          <w:rFonts w:cs="Tahoma"/>
          <w:i/>
          <w:sz w:val="20"/>
        </w:rPr>
      </w:pPr>
      <w:r w:rsidRPr="005F4E34">
        <w:rPr>
          <w:rFonts w:cs="Tahoma"/>
          <w:i/>
          <w:sz w:val="20"/>
        </w:rPr>
        <w:t>Y en los descargos presentados por el Postor, con fecha 14 de diciembre de 2009, referentes a la inexistencia de la importación de los bienes, señaló lo siguiente:</w:t>
      </w:r>
    </w:p>
    <w:p w:rsidR="005F4E34" w:rsidRPr="005F4E34" w:rsidRDefault="005F4E34" w:rsidP="005F4E34">
      <w:pPr>
        <w:pStyle w:val="Textoindependiente"/>
        <w:tabs>
          <w:tab w:val="left" w:pos="2410"/>
        </w:tabs>
        <w:ind w:left="567" w:hanging="567"/>
        <w:rPr>
          <w:rFonts w:cs="Tahoma"/>
          <w:i/>
          <w:sz w:val="20"/>
        </w:rPr>
      </w:pPr>
    </w:p>
    <w:p w:rsidR="005F4E34" w:rsidRPr="005F4E34" w:rsidRDefault="005F4E34" w:rsidP="00180EF6">
      <w:pPr>
        <w:ind w:left="993"/>
        <w:jc w:val="both"/>
        <w:rPr>
          <w:rFonts w:ascii="Tahoma" w:hAnsi="Tahoma" w:cs="Tahoma"/>
          <w:i/>
          <w:sz w:val="20"/>
          <w:szCs w:val="20"/>
          <w:lang w:val="es-PE"/>
        </w:rPr>
      </w:pPr>
      <w:r w:rsidRPr="005F4E34">
        <w:rPr>
          <w:rFonts w:ascii="Tahoma" w:hAnsi="Tahoma" w:cs="Tahoma"/>
          <w:i/>
          <w:sz w:val="20"/>
          <w:szCs w:val="20"/>
          <w:lang w:val="es-PE"/>
        </w:rPr>
        <w:t>(…)</w:t>
      </w:r>
    </w:p>
    <w:p w:rsidR="005F4E34" w:rsidRPr="005F4E34" w:rsidRDefault="005F4E34" w:rsidP="00180EF6">
      <w:pPr>
        <w:ind w:left="993"/>
        <w:jc w:val="both"/>
        <w:rPr>
          <w:rFonts w:ascii="Tahoma" w:hAnsi="Tahoma" w:cs="Tahoma"/>
          <w:i/>
          <w:sz w:val="20"/>
          <w:szCs w:val="20"/>
          <w:lang w:val="es-PE"/>
        </w:rPr>
      </w:pPr>
      <w:r w:rsidRPr="005F4E34">
        <w:rPr>
          <w:rFonts w:ascii="Tahoma" w:hAnsi="Tahoma" w:cs="Tahoma"/>
          <w:i/>
          <w:sz w:val="20"/>
          <w:szCs w:val="20"/>
          <w:lang w:val="es-PE"/>
        </w:rPr>
        <w:lastRenderedPageBreak/>
        <w:t xml:space="preserve">“Pues bien, debemos indicar que ambas partes contratantes, convenimos en variar las condiciones del contrato, sometiéndolo a un INCOTERM 2000, definido por la Cámara Internacional de Comercio (CIC), el cual es FCA= Franco en el Medio de Transporte y cuya definición se realiza a continuación: “FCA= FRANCO EN EL MEDIO DE TRANSPORTE el vendedor debe entregar la mercadería lista para su exportación al transportista en el lugar indicado en las condiciones de embarque.” </w:t>
      </w:r>
    </w:p>
    <w:p w:rsidR="005F4E34" w:rsidRPr="005F4E34" w:rsidRDefault="005F4E34" w:rsidP="00180EF6">
      <w:pPr>
        <w:ind w:left="993"/>
        <w:jc w:val="both"/>
        <w:rPr>
          <w:rFonts w:ascii="Tahoma" w:hAnsi="Tahoma" w:cs="Tahoma"/>
          <w:i/>
          <w:sz w:val="20"/>
          <w:szCs w:val="20"/>
          <w:lang w:val="es-PE"/>
        </w:rPr>
      </w:pPr>
      <w:r w:rsidRPr="005F4E34">
        <w:rPr>
          <w:rFonts w:ascii="Tahoma" w:hAnsi="Tahoma" w:cs="Tahoma"/>
          <w:i/>
          <w:sz w:val="20"/>
          <w:szCs w:val="20"/>
          <w:lang w:val="es-PE"/>
        </w:rPr>
        <w:t xml:space="preserve">Ahora Bien, de acuerdo al </w:t>
      </w:r>
      <w:proofErr w:type="spellStart"/>
      <w:r w:rsidRPr="005F4E34">
        <w:rPr>
          <w:rFonts w:ascii="Tahoma" w:hAnsi="Tahoma" w:cs="Tahoma"/>
          <w:i/>
          <w:sz w:val="20"/>
          <w:szCs w:val="20"/>
          <w:lang w:val="es-PE"/>
        </w:rPr>
        <w:t>Incoterm</w:t>
      </w:r>
      <w:proofErr w:type="spellEnd"/>
      <w:r w:rsidRPr="005F4E34">
        <w:rPr>
          <w:rFonts w:ascii="Tahoma" w:hAnsi="Tahoma" w:cs="Tahoma"/>
          <w:i/>
          <w:sz w:val="20"/>
          <w:szCs w:val="20"/>
          <w:lang w:val="es-PE"/>
        </w:rPr>
        <w:t xml:space="preserve"> antes indicado, queda claro que no era necesaria la entrega en el Perú de los bienes para perfeccionarse la venta, pues se podía acordar un lugar de entrega fuera del país, como sucedió, </w:t>
      </w:r>
      <w:r w:rsidRPr="005F4E34">
        <w:rPr>
          <w:rFonts w:ascii="Tahoma" w:hAnsi="Tahoma" w:cs="Tahoma"/>
          <w:b/>
          <w:i/>
          <w:sz w:val="20"/>
          <w:szCs w:val="20"/>
          <w:lang w:val="es-PE"/>
        </w:rPr>
        <w:t xml:space="preserve">acordándose la entrega en el almacén de la empresa DFEI </w:t>
      </w:r>
      <w:proofErr w:type="spellStart"/>
      <w:r w:rsidRPr="005F4E34">
        <w:rPr>
          <w:rFonts w:ascii="Tahoma" w:hAnsi="Tahoma" w:cs="Tahoma"/>
          <w:b/>
          <w:i/>
          <w:sz w:val="20"/>
          <w:szCs w:val="20"/>
          <w:lang w:val="es-PE"/>
        </w:rPr>
        <w:t>Logistics</w:t>
      </w:r>
      <w:proofErr w:type="spellEnd"/>
      <w:r w:rsidRPr="005F4E34">
        <w:rPr>
          <w:rFonts w:ascii="Tahoma" w:hAnsi="Tahoma" w:cs="Tahoma"/>
          <w:b/>
          <w:i/>
          <w:sz w:val="20"/>
          <w:szCs w:val="20"/>
          <w:lang w:val="es-PE"/>
        </w:rPr>
        <w:t xml:space="preserve">, y que se encuentra situado en 7977 N.W. 21st </w:t>
      </w:r>
      <w:proofErr w:type="spellStart"/>
      <w:r w:rsidRPr="005F4E34">
        <w:rPr>
          <w:rFonts w:ascii="Tahoma" w:hAnsi="Tahoma" w:cs="Tahoma"/>
          <w:b/>
          <w:i/>
          <w:sz w:val="20"/>
          <w:szCs w:val="20"/>
          <w:lang w:val="es-PE"/>
        </w:rPr>
        <w:t>Street</w:t>
      </w:r>
      <w:proofErr w:type="spellEnd"/>
      <w:r w:rsidRPr="005F4E34">
        <w:rPr>
          <w:rFonts w:ascii="Tahoma" w:hAnsi="Tahoma" w:cs="Tahoma"/>
          <w:b/>
          <w:i/>
          <w:sz w:val="20"/>
          <w:szCs w:val="20"/>
          <w:lang w:val="es-PE"/>
        </w:rPr>
        <w:t xml:space="preserve"> Miami, FL 33122 de la ciudad de Miami, estado de Florida, en los Estados Unidos de América, empresa que se haría cargo del traslado a Lima de los bienes, como se acredita de la </w:t>
      </w:r>
      <w:proofErr w:type="spellStart"/>
      <w:r w:rsidRPr="005F4E34">
        <w:rPr>
          <w:rFonts w:ascii="Tahoma" w:hAnsi="Tahoma" w:cs="Tahoma"/>
          <w:b/>
          <w:i/>
          <w:sz w:val="20"/>
          <w:szCs w:val="20"/>
          <w:lang w:val="es-PE"/>
        </w:rPr>
        <w:t>addenda</w:t>
      </w:r>
      <w:proofErr w:type="spellEnd"/>
      <w:r w:rsidRPr="005F4E34">
        <w:rPr>
          <w:rFonts w:ascii="Tahoma" w:hAnsi="Tahoma" w:cs="Tahoma"/>
          <w:b/>
          <w:i/>
          <w:sz w:val="20"/>
          <w:szCs w:val="20"/>
          <w:lang w:val="es-PE"/>
        </w:rPr>
        <w:t xml:space="preserve"> suscrita y de la certificación extendida por la citada empresa, que asevera que los equipos se encuentran aún bajo su custodia</w:t>
      </w:r>
      <w:r w:rsidRPr="005F4E34">
        <w:rPr>
          <w:rFonts w:ascii="Tahoma" w:hAnsi="Tahoma" w:cs="Tahoma"/>
          <w:i/>
          <w:sz w:val="20"/>
          <w:szCs w:val="20"/>
          <w:lang w:val="es-PE"/>
        </w:rPr>
        <w:t>, las cuales fueron entregadas en su oportunidad al Banco Central de Reserva del Perú y obran en el expediente del proceso seguido.” (…)”</w:t>
      </w: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Ahora bien, esta Sala ha podido determinar de forma clara y en observancia de  la normatividad de contrataciones, la responsabilidad de la recurrente en la presentación de dicha documentación como parte de su propuesta técnica, bajo el marco de la Adjudicación de Menor Cuantía Nº 0109-2009-BCRPLIM (Primera Convocatoria), para la Adquisición de Arcos detectores de metales, aplicando la sanción correspondiente a tal infracción.</w:t>
      </w:r>
    </w:p>
    <w:p w:rsidR="005F4E34" w:rsidRPr="005F4E34" w:rsidRDefault="005F4E34" w:rsidP="005F4E34">
      <w:pPr>
        <w:pStyle w:val="Textoindependiente"/>
        <w:tabs>
          <w:tab w:val="left" w:pos="0"/>
        </w:tabs>
        <w:rPr>
          <w:rFonts w:cs="Tahoma"/>
          <w:sz w:val="20"/>
        </w:rPr>
      </w:pPr>
    </w:p>
    <w:p w:rsidR="005F4E34" w:rsidRPr="005F4E34" w:rsidRDefault="005F4E34" w:rsidP="005F4E34">
      <w:pPr>
        <w:pStyle w:val="Textoindependiente"/>
        <w:numPr>
          <w:ilvl w:val="0"/>
          <w:numId w:val="1"/>
        </w:numPr>
        <w:tabs>
          <w:tab w:val="clear" w:pos="1080"/>
          <w:tab w:val="left" w:pos="0"/>
        </w:tabs>
        <w:ind w:left="567" w:hanging="567"/>
        <w:rPr>
          <w:rFonts w:cs="Tahoma"/>
          <w:sz w:val="20"/>
        </w:rPr>
      </w:pPr>
      <w:r w:rsidRPr="005F4E34">
        <w:rPr>
          <w:rFonts w:cs="Tahoma"/>
          <w:sz w:val="20"/>
        </w:rPr>
        <w:t>Asimismo, conviene recordar que ya en la resolución recurrida este Colegiado tuvo oportunidad de valorar cada uno de los criterios para graduar la sanción aplicable al caso, tales como la naturaleza de la infracción, el daño causado, las condiciones y la conducta procesal del infractor y la ausencia de intencionalidad, tal y como se transcribe a continuación:</w:t>
      </w:r>
    </w:p>
    <w:p w:rsidR="005F4E34" w:rsidRPr="005F4E34" w:rsidRDefault="005F4E34" w:rsidP="005F4E34">
      <w:pPr>
        <w:pStyle w:val="Textoindependiente"/>
        <w:tabs>
          <w:tab w:val="left" w:pos="0"/>
        </w:tabs>
        <w:ind w:left="567"/>
        <w:rPr>
          <w:rFonts w:cs="Tahoma"/>
          <w:sz w:val="20"/>
          <w:lang w:val="es-MX"/>
        </w:rPr>
      </w:pPr>
    </w:p>
    <w:p w:rsidR="005F4E34" w:rsidRPr="005F4E34" w:rsidRDefault="005F4E34" w:rsidP="00180EF6">
      <w:pPr>
        <w:pStyle w:val="Textoindependiente"/>
        <w:tabs>
          <w:tab w:val="left" w:pos="2410"/>
        </w:tabs>
        <w:ind w:left="993"/>
        <w:rPr>
          <w:rFonts w:cs="Tahoma"/>
          <w:i/>
          <w:sz w:val="20"/>
          <w:lang w:val="es-PE"/>
        </w:rPr>
      </w:pPr>
      <w:r w:rsidRPr="005F4E34">
        <w:rPr>
          <w:rFonts w:cs="Tahoma"/>
          <w:i/>
          <w:sz w:val="20"/>
          <w:lang w:val="es-PE"/>
        </w:rPr>
        <w:t>“10. Así pues, e</w:t>
      </w:r>
      <w:r w:rsidRPr="005F4E34">
        <w:rPr>
          <w:rFonts w:cs="Tahoma"/>
          <w:i/>
          <w:sz w:val="20"/>
          <w:lang w:val="es-MX"/>
        </w:rPr>
        <w:t xml:space="preserve">n virtud de lo expuesto, </w:t>
      </w:r>
      <w:r w:rsidRPr="005F4E34">
        <w:rPr>
          <w:rFonts w:cs="Tahoma"/>
          <w:i/>
          <w:sz w:val="20"/>
        </w:rPr>
        <w:t xml:space="preserve">la conducta del Postor consistente en la presentación del </w:t>
      </w:r>
      <w:r w:rsidRPr="005F4E34">
        <w:rPr>
          <w:rFonts w:cs="Tahoma"/>
          <w:i/>
          <w:sz w:val="20"/>
          <w:lang w:val="es-MX"/>
        </w:rPr>
        <w:t xml:space="preserve">“Acta de Conformidad”, </w:t>
      </w:r>
      <w:r w:rsidRPr="005F4E34">
        <w:rPr>
          <w:rFonts w:cs="Tahoma"/>
          <w:i/>
          <w:sz w:val="20"/>
        </w:rPr>
        <w:t>supone una trasgresión del principio de presunción de veracidad, en vista que, si bien a través de dicho principio la Administración Pública se encuentra en el deber de presumir como veraces los documentos presentados por el administrado, esta situación ha quedado desvirtuada desde el momento en que se ha verificado que tal documento contiene información inexacta</w:t>
      </w:r>
      <w:r w:rsidRPr="005F4E34">
        <w:rPr>
          <w:rFonts w:cs="Tahoma"/>
          <w:i/>
          <w:sz w:val="20"/>
          <w:lang w:val="es-PE"/>
        </w:rPr>
        <w:t>, debido a que en el Acta de Conformidad y en los descargos presentados por el mismo Postor, se han consignado lugares distintos en donde se habría llevado a cabo la entrega de dichos bienes.</w:t>
      </w:r>
    </w:p>
    <w:p w:rsidR="005F4E34" w:rsidRPr="005F4E34" w:rsidRDefault="005F4E34" w:rsidP="005F4E34">
      <w:pPr>
        <w:pStyle w:val="Textoindependiente"/>
        <w:tabs>
          <w:tab w:val="left" w:pos="2410"/>
        </w:tabs>
        <w:ind w:left="540"/>
        <w:rPr>
          <w:rFonts w:cs="Tahoma"/>
          <w:i/>
          <w:sz w:val="20"/>
          <w:lang w:val="es-PE"/>
        </w:rPr>
      </w:pPr>
    </w:p>
    <w:p w:rsidR="005F4E34" w:rsidRPr="005F4E34" w:rsidRDefault="005F4E34" w:rsidP="00180EF6">
      <w:pPr>
        <w:pStyle w:val="Textoindependiente"/>
        <w:tabs>
          <w:tab w:val="left" w:pos="2410"/>
        </w:tabs>
        <w:ind w:left="993"/>
        <w:rPr>
          <w:rFonts w:cs="Tahoma"/>
          <w:i/>
          <w:sz w:val="20"/>
          <w:lang w:val="es-PE"/>
        </w:rPr>
      </w:pPr>
      <w:r w:rsidRPr="005F4E34">
        <w:rPr>
          <w:rFonts w:cs="Tahoma"/>
          <w:i/>
          <w:sz w:val="20"/>
          <w:lang w:val="es-MX"/>
        </w:rPr>
        <w:t>11. Por consiguiente, en virtud a lo dispuesto en el</w:t>
      </w:r>
      <w:r w:rsidRPr="005F4E34">
        <w:rPr>
          <w:rFonts w:cs="Tahoma"/>
          <w:i/>
          <w:sz w:val="20"/>
        </w:rPr>
        <w:t xml:space="preserve"> numeral 4 del artículo 230 </w:t>
      </w:r>
      <w:r w:rsidRPr="005F4E34">
        <w:rPr>
          <w:rFonts w:cs="Tahoma"/>
          <w:i/>
          <w:sz w:val="20"/>
        </w:rPr>
        <w:lastRenderedPageBreak/>
        <w:t>de la Ley del Procedimiento Administrativo General, el cual consagra el principio de tipicidad, traído también a colación por el Consorcio, por el que las conductas expresamente descritas como sancionables no pueden admitir interpretación extensiva o analógica,</w:t>
      </w:r>
      <w:r w:rsidRPr="005F4E34">
        <w:rPr>
          <w:rFonts w:cs="Tahoma"/>
          <w:i/>
          <w:sz w:val="20"/>
          <w:lang w:val="es-MX"/>
        </w:rPr>
        <w:t xml:space="preserve"> este Colegiado considera que </w:t>
      </w:r>
      <w:r w:rsidRPr="005F4E34">
        <w:rPr>
          <w:rFonts w:cs="Tahoma"/>
          <w:i/>
          <w:sz w:val="20"/>
        </w:rPr>
        <w:t>la conducta desarrollada por el Consorcio califica dentro del supuesto de hecho de la infracción tipificada  en el literal i) del artículo 51 de la Ley de Contrataciones del Estado, concordante con el literal i) del numeral 1 del artículo 237 del Reglamento de la Ley de Contrataciones y Adquisiciones del Estado, por la cual corresponde imponer una sanción administrativa de inhabilitación para ser postor y contratar con el Estado por un periodo no menor a un (01) año ni mayor de tres (03) años.</w:t>
      </w:r>
    </w:p>
    <w:p w:rsidR="005F4E34" w:rsidRPr="005F4E34" w:rsidRDefault="005F4E34" w:rsidP="005F4E34">
      <w:pPr>
        <w:pStyle w:val="Prrafodelista"/>
        <w:rPr>
          <w:rFonts w:ascii="Tahoma" w:hAnsi="Tahoma" w:cs="Tahoma"/>
          <w:i/>
          <w:sz w:val="20"/>
        </w:rPr>
      </w:pPr>
    </w:p>
    <w:p w:rsidR="005F4E34" w:rsidRPr="005F4E34" w:rsidRDefault="005F4E34" w:rsidP="00180EF6">
      <w:pPr>
        <w:pStyle w:val="Textoindependiente"/>
        <w:tabs>
          <w:tab w:val="left" w:pos="2410"/>
        </w:tabs>
        <w:ind w:left="993"/>
        <w:rPr>
          <w:rFonts w:cs="Tahoma"/>
          <w:i/>
          <w:sz w:val="20"/>
          <w:lang w:val="es-PE"/>
        </w:rPr>
      </w:pPr>
      <w:r w:rsidRPr="005F4E34">
        <w:rPr>
          <w:rFonts w:cs="Tahoma"/>
          <w:i/>
          <w:sz w:val="20"/>
        </w:rPr>
        <w:t>12. En ese orden de ideas, para graduar la sanción administrativa a imponerse, debe considerarse los criterios establecidos en el artículo 245 del Reglamento</w:t>
      </w:r>
      <w:r w:rsidRPr="005F4E34">
        <w:rPr>
          <w:rStyle w:val="Refdenotaalpie"/>
          <w:rFonts w:cs="Tahoma"/>
          <w:i/>
          <w:sz w:val="20"/>
        </w:rPr>
        <w:footnoteReference w:id="4"/>
      </w:r>
      <w:r w:rsidRPr="005F4E34">
        <w:rPr>
          <w:rFonts w:cs="Tahoma"/>
          <w:i/>
          <w:sz w:val="20"/>
        </w:rPr>
        <w:t>. En ese sentido, en relación con la naturaleza de la infracción cometida, se advierte que ésta reviste una considerable gravedad, debido a la vulneración del principio de moralidad que debe regir todos los actos vinculados a las contrataciones públicas y que, junto a la fe pública, constituyen bienes jurídicos merecedores de protección especial, pues son los pilares que sostienen las relaciones entre la Administración Pública y los administrados.</w:t>
      </w:r>
    </w:p>
    <w:p w:rsidR="005F4E34" w:rsidRPr="005F4E34" w:rsidRDefault="005F4E34" w:rsidP="005F4E34">
      <w:pPr>
        <w:pStyle w:val="Prrafodelista"/>
        <w:rPr>
          <w:rFonts w:ascii="Tahoma" w:hAnsi="Tahoma" w:cs="Tahoma"/>
          <w:i/>
          <w:sz w:val="20"/>
        </w:rPr>
      </w:pPr>
    </w:p>
    <w:p w:rsidR="005F4E34" w:rsidRPr="005F4E34" w:rsidRDefault="005F4E34" w:rsidP="00180EF6">
      <w:pPr>
        <w:pStyle w:val="Textoindependiente"/>
        <w:numPr>
          <w:ilvl w:val="0"/>
          <w:numId w:val="8"/>
        </w:numPr>
        <w:tabs>
          <w:tab w:val="left" w:pos="993"/>
        </w:tabs>
        <w:ind w:left="993" w:firstLine="0"/>
        <w:rPr>
          <w:rFonts w:cs="Tahoma"/>
          <w:i/>
          <w:sz w:val="20"/>
          <w:lang w:val="es-MX"/>
        </w:rPr>
      </w:pPr>
      <w:r w:rsidRPr="005F4E34">
        <w:rPr>
          <w:rFonts w:cs="Tahoma"/>
          <w:i/>
          <w:sz w:val="20"/>
        </w:rPr>
        <w:t xml:space="preserve"> Asimismo, se considera que el daño causado surge con la sola configuración de la causal tipificada como sancionable, puesto que, el solo hecho de establecer causales de aplicación de sanción, supone que su realización conlleva a un menoscabo o detrimento en los fines de la Entidad, siendo irrelevante para tal efecto el hecho que finalmente la propuesta del Postor no haya sido admitida por no indicar la marca, modelo y cantidad de los bienes ofertados.  </w:t>
      </w:r>
    </w:p>
    <w:p w:rsidR="005F4E34" w:rsidRPr="005F4E34" w:rsidRDefault="005F4E34" w:rsidP="005F4E34">
      <w:pPr>
        <w:pStyle w:val="Prrafodelista"/>
        <w:rPr>
          <w:rFonts w:ascii="Tahoma" w:hAnsi="Tahoma" w:cs="Tahoma"/>
          <w:i/>
          <w:sz w:val="20"/>
          <w:lang w:val="es-MX"/>
        </w:rPr>
      </w:pPr>
    </w:p>
    <w:p w:rsidR="005F4E34" w:rsidRPr="005F4E34" w:rsidRDefault="005F4E34" w:rsidP="00180EF6">
      <w:pPr>
        <w:pStyle w:val="Textoindependiente"/>
        <w:tabs>
          <w:tab w:val="left" w:pos="2410"/>
        </w:tabs>
        <w:ind w:left="993"/>
        <w:rPr>
          <w:rFonts w:cs="Tahoma"/>
          <w:i/>
          <w:sz w:val="20"/>
          <w:lang w:val="es-MX"/>
        </w:rPr>
      </w:pPr>
      <w:r w:rsidRPr="005F4E34">
        <w:rPr>
          <w:rFonts w:cs="Tahoma"/>
          <w:i/>
          <w:sz w:val="20"/>
          <w:lang w:val="es-MX"/>
        </w:rPr>
        <w:t xml:space="preserve">14. Sin perjuicio de lo anterior, y en lo que concierne a la conducta procesal del infractor, </w:t>
      </w:r>
      <w:r w:rsidRPr="005F4E34">
        <w:rPr>
          <w:rFonts w:cs="Tahoma"/>
          <w:i/>
          <w:sz w:val="20"/>
        </w:rPr>
        <w:t>durante la sustanciación del presente procedimiento administrativo sancionador, el Postor ha presentado sus descargos dentro del plazo otorgado para tal efecto, facilitando con ello la labor de este Colegiado en la determinación de su responsabilidad.</w:t>
      </w:r>
    </w:p>
    <w:p w:rsidR="005F4E34" w:rsidRPr="005F4E34" w:rsidRDefault="005F4E34" w:rsidP="005F4E34">
      <w:pPr>
        <w:pStyle w:val="Prrafodelista"/>
        <w:rPr>
          <w:rFonts w:ascii="Tahoma" w:hAnsi="Tahoma" w:cs="Tahoma"/>
          <w:i/>
          <w:sz w:val="20"/>
          <w:lang w:val="es-MX"/>
        </w:rPr>
      </w:pPr>
    </w:p>
    <w:p w:rsidR="005F4E34" w:rsidRPr="005F4E34" w:rsidRDefault="005F4E34" w:rsidP="00180EF6">
      <w:pPr>
        <w:pStyle w:val="Textoindependiente"/>
        <w:tabs>
          <w:tab w:val="left" w:pos="2410"/>
        </w:tabs>
        <w:ind w:left="993"/>
        <w:rPr>
          <w:rFonts w:cs="Tahoma"/>
          <w:i/>
          <w:sz w:val="20"/>
          <w:lang w:val="es-MX"/>
        </w:rPr>
      </w:pPr>
      <w:r w:rsidRPr="005F4E34">
        <w:rPr>
          <w:rFonts w:cs="Tahoma"/>
          <w:i/>
          <w:sz w:val="20"/>
          <w:lang w:val="es-MX"/>
        </w:rPr>
        <w:lastRenderedPageBreak/>
        <w:t>15. En igual sentido, y en lo que atañe a las condiciones del infractor, abona a favor del Postor,</w:t>
      </w:r>
      <w:r w:rsidRPr="005F4E34">
        <w:rPr>
          <w:rFonts w:cs="Tahoma"/>
          <w:i/>
          <w:sz w:val="20"/>
        </w:rPr>
        <w:t xml:space="preserve"> que no ha sido sancionado en anteriores oportunidades por este Tribunal, lo cual será tomado en cuenta a efectos de la graduación de la sanción administrativa. </w:t>
      </w:r>
    </w:p>
    <w:p w:rsidR="005F4E34" w:rsidRPr="005F4E34" w:rsidRDefault="005F4E34" w:rsidP="005F4E34">
      <w:pPr>
        <w:pStyle w:val="Prrafodelista"/>
        <w:rPr>
          <w:rFonts w:ascii="Tahoma" w:hAnsi="Tahoma" w:cs="Tahoma"/>
          <w:i/>
          <w:sz w:val="20"/>
          <w:lang w:val="es-MX"/>
        </w:rPr>
      </w:pPr>
    </w:p>
    <w:p w:rsidR="005F4E34" w:rsidRPr="005F4E34" w:rsidRDefault="005F4E34" w:rsidP="00180EF6">
      <w:pPr>
        <w:pStyle w:val="Textoindependiente"/>
        <w:tabs>
          <w:tab w:val="left" w:pos="2410"/>
        </w:tabs>
        <w:ind w:left="993"/>
        <w:rPr>
          <w:rFonts w:cs="Tahoma"/>
          <w:i/>
          <w:sz w:val="20"/>
          <w:lang w:val="es-MX"/>
        </w:rPr>
      </w:pPr>
      <w:r w:rsidRPr="005F4E34">
        <w:rPr>
          <w:rFonts w:cs="Tahoma"/>
          <w:i/>
          <w:sz w:val="20"/>
          <w:lang w:val="es-MX"/>
        </w:rPr>
        <w:t>16. Finalmente, si bien en el caso de autos no es posible determinarse la existencia de intencionalidad, sí resulta clara la falta de diligencia por parte del Postor, quien como se ha señalado a lo largo de la presente Fundamentación, se encontraba llamado a preservar ante todo la autenticidad y veracidad de la documentación que a su nombre obraba en la propuesta técnica presentada.”</w:t>
      </w:r>
    </w:p>
    <w:p w:rsidR="005F4E34" w:rsidRPr="005F4E34" w:rsidRDefault="005F4E34" w:rsidP="005F4E34">
      <w:pPr>
        <w:pStyle w:val="Textoindependiente"/>
        <w:tabs>
          <w:tab w:val="left" w:pos="2410"/>
        </w:tabs>
        <w:rPr>
          <w:rFonts w:cs="Tahoma"/>
          <w:i/>
          <w:sz w:val="20"/>
          <w:lang w:val="es-MX"/>
        </w:rPr>
      </w:pPr>
    </w:p>
    <w:p w:rsidR="005F4E34" w:rsidRPr="005F4E34" w:rsidRDefault="005F4E34" w:rsidP="005F4E34">
      <w:pPr>
        <w:pStyle w:val="Textoindependiente"/>
        <w:numPr>
          <w:ilvl w:val="0"/>
          <w:numId w:val="1"/>
        </w:numPr>
        <w:tabs>
          <w:tab w:val="clear" w:pos="1080"/>
          <w:tab w:val="left" w:pos="0"/>
          <w:tab w:val="num" w:pos="567"/>
        </w:tabs>
        <w:ind w:left="567" w:hanging="567"/>
        <w:rPr>
          <w:rFonts w:cs="Tahoma"/>
          <w:sz w:val="20"/>
        </w:rPr>
      </w:pPr>
      <w:r w:rsidRPr="005F4E34">
        <w:rPr>
          <w:rFonts w:cs="Tahoma"/>
          <w:sz w:val="20"/>
        </w:rPr>
        <w:t xml:space="preserve">En efecto, en atención a los criterios antes mencionados y al </w:t>
      </w:r>
      <w:r w:rsidRPr="005F4E34">
        <w:rPr>
          <w:rFonts w:cs="Tahoma"/>
          <w:i/>
          <w:sz w:val="20"/>
        </w:rPr>
        <w:t>principio de razonabilidad</w:t>
      </w:r>
      <w:r w:rsidRPr="005F4E34">
        <w:rPr>
          <w:rFonts w:cs="Tahoma"/>
          <w:sz w:val="20"/>
        </w:rPr>
        <w:t xml:space="preserve"> previsto en la Ley Nº 27444, del Procedimiento Administrativo General, se sustentó la aplicación de una sanción administrativa contra el Postor por el periodo de doce (12) meses, por lo que corresponde desconocer el error o confusión alegado por la recurrente, pues de lo antes expuesto y de los términos contemplados a lo largo de los numerales 7 al 11 de la Fundamentación de la Resolución № 561-2011-TC-S4, se consideró que no existían circunstancias adicionales a las ya descritas que permitieran eximir de responsabilidad al Postor.</w:t>
      </w:r>
    </w:p>
    <w:p w:rsidR="005F4E34" w:rsidRPr="005F4E34" w:rsidRDefault="005F4E34" w:rsidP="005F4E34">
      <w:pPr>
        <w:pStyle w:val="Textoindependiente"/>
        <w:tabs>
          <w:tab w:val="left" w:pos="0"/>
        </w:tabs>
        <w:ind w:left="567"/>
        <w:rPr>
          <w:rFonts w:cs="Tahoma"/>
          <w:sz w:val="20"/>
        </w:rPr>
      </w:pPr>
    </w:p>
    <w:p w:rsidR="005F4E34" w:rsidRPr="005F4E34" w:rsidRDefault="005F4E34" w:rsidP="005F4E34">
      <w:pPr>
        <w:pStyle w:val="Textoindependiente"/>
        <w:numPr>
          <w:ilvl w:val="0"/>
          <w:numId w:val="1"/>
        </w:numPr>
        <w:tabs>
          <w:tab w:val="left" w:pos="0"/>
        </w:tabs>
        <w:ind w:left="567" w:hanging="567"/>
        <w:rPr>
          <w:rFonts w:cs="Tahoma"/>
          <w:sz w:val="20"/>
        </w:rPr>
      </w:pPr>
      <w:r w:rsidRPr="005F4E34">
        <w:rPr>
          <w:rFonts w:cs="Tahoma"/>
          <w:sz w:val="20"/>
        </w:rPr>
        <w:t xml:space="preserve">Nótese, respecto de lo anterior, que el artículo 245 del Reglamento contiene el detalle de los criterios que deben servir para graduar las sanciones previstas por la comisión de las infracciones establecidas en el artículo 237 del mismo cuerpo reglamentario, la sanción a imponerse para el caso de la infracción que nos ocupa puede ser por un periodo no menor a un año ni mayor de tres años, por lo que la aplicación de un periodo menor al mínimo, no es procedente. </w:t>
      </w:r>
    </w:p>
    <w:p w:rsidR="005F4E34" w:rsidRPr="005F4E34" w:rsidRDefault="005F4E34" w:rsidP="005F4E34">
      <w:pPr>
        <w:pStyle w:val="Prrafodelista"/>
        <w:rPr>
          <w:rFonts w:ascii="Tahoma" w:hAnsi="Tahoma" w:cs="Tahoma"/>
          <w:sz w:val="20"/>
          <w:highlight w:val="yellow"/>
        </w:rPr>
      </w:pPr>
    </w:p>
    <w:p w:rsidR="005F4E34" w:rsidRPr="005F4E34" w:rsidRDefault="005F4E34" w:rsidP="005F4E34">
      <w:pPr>
        <w:pStyle w:val="Textoindependiente"/>
        <w:numPr>
          <w:ilvl w:val="0"/>
          <w:numId w:val="1"/>
        </w:numPr>
        <w:tabs>
          <w:tab w:val="left" w:pos="0"/>
        </w:tabs>
        <w:ind w:left="567" w:hanging="567"/>
        <w:rPr>
          <w:rFonts w:cs="Tahoma"/>
          <w:sz w:val="20"/>
        </w:rPr>
      </w:pPr>
      <w:r w:rsidRPr="005F4E34">
        <w:rPr>
          <w:rFonts w:cs="Tahoma"/>
          <w:sz w:val="20"/>
        </w:rPr>
        <w:t xml:space="preserve">Asimismo, respecto a la petición de nulidad del referido procedimiento, por no haber sido notificada la clave de acceso al Toma Razón electrónico, tenemos que señalar que </w:t>
      </w:r>
      <w:r w:rsidRPr="005F4E34">
        <w:rPr>
          <w:rFonts w:cs="Tahoma"/>
          <w:color w:val="000000"/>
          <w:sz w:val="20"/>
        </w:rPr>
        <w:t xml:space="preserve">mediante Cédula Nº 30772/2010.TC recibida el 16 de diciembre de 2010, la recurrente recibió la clave de acceso de consulta al “Toma Razón” electrónico de la página web del OSCE, siendo esta </w:t>
      </w:r>
      <w:proofErr w:type="spellStart"/>
      <w:r w:rsidRPr="005F4E34">
        <w:rPr>
          <w:rFonts w:cs="Tahoma"/>
          <w:color w:val="000000"/>
          <w:sz w:val="20"/>
        </w:rPr>
        <w:t>recepcionada</w:t>
      </w:r>
      <w:proofErr w:type="spellEnd"/>
      <w:r w:rsidRPr="005F4E34">
        <w:rPr>
          <w:rFonts w:cs="Tahoma"/>
          <w:color w:val="000000"/>
          <w:sz w:val="20"/>
        </w:rPr>
        <w:t xml:space="preserve"> por la señorita Sylvia Villavicencio Enciso, identificada con DNI Nº 40455450, la cual declaró ser la encargada en dicha empresa, tal como consta en el cargo de entrega respectivo; en consecuencia esta clave de acceso fue debidamente notificada de acuerdo a la Directiva Nº 009-2010/OSCE/PRE aprobada por Resolución Nº 505-2010-OSCE/PRE en la cual se establece que en los procedimientos administrativos sancionadores, se notificará en forma personal la clave de acceso de consulta al Toma Razón electrónico de la página web del OSCE al administrado y a la entidad que es parte del procedimiento, dándose esta conjuntamente con el decreto que inicia el procedimiento; por lo tanto, no procede la solicitud de nulidad del procedimiento seguido contra el Postor. </w:t>
      </w:r>
    </w:p>
    <w:p w:rsidR="005F4E34" w:rsidRPr="005F4E34" w:rsidRDefault="005F4E34" w:rsidP="005F4E34">
      <w:pPr>
        <w:pStyle w:val="Textoindependiente"/>
        <w:tabs>
          <w:tab w:val="left" w:pos="0"/>
        </w:tabs>
        <w:ind w:left="567"/>
        <w:rPr>
          <w:rFonts w:cs="Tahoma"/>
          <w:sz w:val="20"/>
        </w:rPr>
      </w:pPr>
    </w:p>
    <w:p w:rsidR="005F4E34" w:rsidRPr="005F4E34" w:rsidRDefault="005F4E34" w:rsidP="005F4E34">
      <w:pPr>
        <w:pStyle w:val="Textoindependiente"/>
        <w:numPr>
          <w:ilvl w:val="0"/>
          <w:numId w:val="1"/>
        </w:numPr>
        <w:tabs>
          <w:tab w:val="left" w:pos="0"/>
        </w:tabs>
        <w:ind w:left="567" w:hanging="567"/>
        <w:rPr>
          <w:rFonts w:cs="Tahoma"/>
          <w:sz w:val="20"/>
        </w:rPr>
      </w:pPr>
      <w:r w:rsidRPr="005F4E34">
        <w:rPr>
          <w:rFonts w:cs="Tahoma"/>
          <w:sz w:val="20"/>
        </w:rPr>
        <w:t>En consecuencia, resulta que la resolución recurrida no adolece de vicio alguno que pueda acarrear su nulidad, y por el contrario, en atención a lo señalado a lo largo de la presente Fundamentación, corresponde ratificarla en todos sus extremos.</w:t>
      </w:r>
    </w:p>
    <w:p w:rsidR="005F4E34" w:rsidRPr="005F4E34" w:rsidRDefault="005F4E34" w:rsidP="005F4E34">
      <w:pPr>
        <w:pStyle w:val="Prrafodelista"/>
        <w:rPr>
          <w:rFonts w:ascii="Tahoma" w:hAnsi="Tahoma" w:cs="Tahoma"/>
          <w:sz w:val="20"/>
        </w:rPr>
      </w:pPr>
    </w:p>
    <w:p w:rsidR="005F4E34" w:rsidRPr="005F4E34" w:rsidRDefault="005F4E34" w:rsidP="005F4E34">
      <w:pPr>
        <w:pStyle w:val="Textoindependiente"/>
        <w:numPr>
          <w:ilvl w:val="0"/>
          <w:numId w:val="1"/>
        </w:numPr>
        <w:tabs>
          <w:tab w:val="left" w:pos="0"/>
        </w:tabs>
        <w:ind w:left="567" w:hanging="567"/>
        <w:rPr>
          <w:rFonts w:cs="Tahoma"/>
          <w:sz w:val="20"/>
        </w:rPr>
      </w:pPr>
      <w:r w:rsidRPr="005F4E34">
        <w:rPr>
          <w:rFonts w:cs="Tahoma"/>
          <w:sz w:val="20"/>
        </w:rPr>
        <w:t xml:space="preserve">Por las consideraciones expuestas, y habida cuenta que en el recurso de reconsideración no se han aportado nuevos elementos de juicio que permitan modificar la decisión que el Tribunal adoptó, corresponde declararlo infundado y, por su efecto, confirmar en todos sus extremos la resolución recurrida, debiendo comunicarse el presente pronunciamiento a la Subdirección del Registro Nacional de Proveedores del OSCE para las anotaciones de ley.    </w:t>
      </w:r>
    </w:p>
    <w:p w:rsidR="005F4E34" w:rsidRDefault="005F4E34" w:rsidP="005F4E34">
      <w:pPr>
        <w:pStyle w:val="Textoindependiente"/>
        <w:tabs>
          <w:tab w:val="left" w:pos="0"/>
        </w:tabs>
        <w:ind w:left="567"/>
        <w:rPr>
          <w:rFonts w:cs="Tahoma"/>
          <w:sz w:val="20"/>
        </w:rPr>
      </w:pPr>
    </w:p>
    <w:p w:rsidR="00180EF6" w:rsidRPr="006B4AFE" w:rsidRDefault="00180EF6" w:rsidP="00180EF6">
      <w:pPr>
        <w:spacing w:after="0"/>
        <w:ind w:firstLine="567"/>
        <w:jc w:val="both"/>
        <w:rPr>
          <w:rFonts w:ascii="Tahoma" w:hAnsi="Tahoma" w:cs="Tahoma"/>
          <w:sz w:val="20"/>
          <w:szCs w:val="20"/>
        </w:rPr>
      </w:pPr>
      <w:r w:rsidRPr="006B4AFE">
        <w:rPr>
          <w:rFonts w:ascii="Tahoma" w:hAnsi="Tahoma" w:cs="Tahoma"/>
          <w:sz w:val="20"/>
          <w:szCs w:val="20"/>
        </w:rPr>
        <w:t xml:space="preserve">Por estos fundamentos, de conformidad con el informe del Vocal Ponente Dr. Jorge Enrique Silva Dávila y la intervención de los Vocales Dr. Zumaeta </w:t>
      </w:r>
      <w:proofErr w:type="spellStart"/>
      <w:r w:rsidRPr="006B4AFE">
        <w:rPr>
          <w:rFonts w:ascii="Tahoma" w:hAnsi="Tahoma" w:cs="Tahoma"/>
          <w:sz w:val="20"/>
          <w:szCs w:val="20"/>
        </w:rPr>
        <w:t>Giudichi</w:t>
      </w:r>
      <w:proofErr w:type="spellEnd"/>
      <w:r w:rsidRPr="006B4AFE">
        <w:rPr>
          <w:rFonts w:ascii="Tahoma" w:hAnsi="Tahoma" w:cs="Tahoma"/>
          <w:sz w:val="20"/>
          <w:szCs w:val="20"/>
        </w:rPr>
        <w:t xml:space="preserve"> y Dra. </w:t>
      </w:r>
      <w:proofErr w:type="spellStart"/>
      <w:r w:rsidRPr="006B4AFE">
        <w:rPr>
          <w:rFonts w:ascii="Tahoma" w:hAnsi="Tahoma" w:cs="Tahoma"/>
          <w:sz w:val="20"/>
          <w:szCs w:val="20"/>
        </w:rPr>
        <w:t>Dammar</w:t>
      </w:r>
      <w:proofErr w:type="spellEnd"/>
      <w:r w:rsidRPr="006B4AFE">
        <w:rPr>
          <w:rFonts w:ascii="Tahoma" w:hAnsi="Tahoma" w:cs="Tahoma"/>
          <w:sz w:val="20"/>
          <w:szCs w:val="20"/>
        </w:rPr>
        <w:t xml:space="preserve"> Salazar Díaz, atendiendo a la </w:t>
      </w:r>
      <w:proofErr w:type="spellStart"/>
      <w:r w:rsidRPr="006B4AFE">
        <w:rPr>
          <w:rFonts w:ascii="Tahoma" w:hAnsi="Tahoma" w:cs="Tahoma"/>
          <w:sz w:val="20"/>
          <w:szCs w:val="20"/>
        </w:rPr>
        <w:t>reconformación</w:t>
      </w:r>
      <w:proofErr w:type="spellEnd"/>
      <w:r w:rsidRPr="006B4AFE">
        <w:rPr>
          <w:rFonts w:ascii="Tahoma" w:hAnsi="Tahoma" w:cs="Tahoma"/>
          <w:sz w:val="20"/>
          <w:szCs w:val="20"/>
        </w:rPr>
        <w:t xml:space="preserve"> de la Cuarta Sala del Tribunal de Contrataciones del Estado, según lo dispuesto en la Resolución № 103-2011-OSCE/PRE, expedida el 29 de marzo de 2011, y lo previsto en el Acuerdo Nº 001/2011, y en ejercicio de las facultades conferidas en los artículos 51 y 63 de la Ley de Contrataciones del Estado, aprobada por Decreto Legislativo № 1017, su Reglamento, aprobado por Decreto Supremo № 184-2008-EF,</w:t>
      </w:r>
      <w:r w:rsidRPr="006B4AFE">
        <w:rPr>
          <w:rFonts w:ascii="Tahoma" w:hAnsi="Tahoma" w:cs="Tahoma"/>
          <w:color w:val="000000"/>
          <w:sz w:val="20"/>
          <w:szCs w:val="20"/>
        </w:rPr>
        <w:t xml:space="preserve"> </w:t>
      </w:r>
      <w:r w:rsidRPr="006B4AFE">
        <w:rPr>
          <w:rFonts w:ascii="Tahoma" w:hAnsi="Tahoma" w:cs="Tahoma"/>
          <w:sz w:val="20"/>
          <w:szCs w:val="20"/>
        </w:rPr>
        <w:t xml:space="preserve">y los artículos 17 y 18 del Reglamento de Organización y Funciones del OSCE, aprobado por Decreto Supremo № 006-2009-EF, analizados los antecedentes y luego de agotado el debate correspondiente, por unanimidad, </w:t>
      </w:r>
    </w:p>
    <w:p w:rsidR="005F4E34" w:rsidRDefault="005F4E34" w:rsidP="005F4E34">
      <w:pPr>
        <w:spacing w:after="0" w:line="240" w:lineRule="auto"/>
        <w:jc w:val="both"/>
        <w:rPr>
          <w:rFonts w:ascii="Tahoma" w:hAnsi="Tahoma" w:cs="Tahoma"/>
          <w:sz w:val="20"/>
          <w:szCs w:val="20"/>
        </w:rPr>
      </w:pPr>
    </w:p>
    <w:p w:rsidR="005F4E34" w:rsidRPr="002F02A7" w:rsidRDefault="005F4E34" w:rsidP="005F4E34">
      <w:pPr>
        <w:spacing w:after="0" w:line="240" w:lineRule="auto"/>
        <w:jc w:val="both"/>
        <w:rPr>
          <w:rFonts w:ascii="Tahoma" w:hAnsi="Tahoma" w:cs="Tahoma"/>
          <w:sz w:val="20"/>
          <w:szCs w:val="20"/>
        </w:rPr>
      </w:pPr>
    </w:p>
    <w:p w:rsidR="005F4E34" w:rsidRDefault="005F4E34" w:rsidP="005F4E34">
      <w:pPr>
        <w:spacing w:after="0" w:line="240" w:lineRule="auto"/>
        <w:ind w:right="-315"/>
        <w:jc w:val="both"/>
        <w:rPr>
          <w:rFonts w:ascii="Tahoma" w:hAnsi="Tahoma" w:cs="Tahoma"/>
          <w:b/>
          <w:sz w:val="20"/>
          <w:szCs w:val="20"/>
        </w:rPr>
      </w:pPr>
      <w:smartTag w:uri="urn:schemas-microsoft-com:office:smarttags" w:element="PersonName">
        <w:smartTagPr>
          <w:attr w:name="ProductID" w:val="LA SALA RESUELVE"/>
        </w:smartTagPr>
        <w:r w:rsidRPr="002F02A7">
          <w:rPr>
            <w:rFonts w:ascii="Tahoma" w:hAnsi="Tahoma" w:cs="Tahoma"/>
            <w:b/>
            <w:sz w:val="20"/>
            <w:szCs w:val="20"/>
          </w:rPr>
          <w:t>LA SALA RESUELVE</w:t>
        </w:r>
      </w:smartTag>
      <w:r w:rsidRPr="002F02A7">
        <w:rPr>
          <w:rFonts w:ascii="Tahoma" w:hAnsi="Tahoma" w:cs="Tahoma"/>
          <w:b/>
          <w:sz w:val="20"/>
          <w:szCs w:val="20"/>
        </w:rPr>
        <w:t>:</w:t>
      </w:r>
    </w:p>
    <w:p w:rsidR="005F4E34" w:rsidRPr="002F02A7" w:rsidRDefault="005F4E34" w:rsidP="005F4E34">
      <w:pPr>
        <w:spacing w:after="0" w:line="240" w:lineRule="auto"/>
        <w:ind w:right="-315"/>
        <w:jc w:val="both"/>
        <w:rPr>
          <w:rFonts w:ascii="Tahoma" w:hAnsi="Tahoma" w:cs="Tahoma"/>
          <w:b/>
          <w:sz w:val="20"/>
          <w:szCs w:val="20"/>
        </w:rPr>
      </w:pPr>
    </w:p>
    <w:p w:rsidR="00180EF6" w:rsidRPr="00180EF6" w:rsidRDefault="00180EF6" w:rsidP="00180EF6">
      <w:pPr>
        <w:numPr>
          <w:ilvl w:val="0"/>
          <w:numId w:val="2"/>
        </w:numPr>
        <w:tabs>
          <w:tab w:val="clear" w:pos="1080"/>
          <w:tab w:val="num" w:pos="0"/>
        </w:tabs>
        <w:spacing w:after="0" w:line="240" w:lineRule="auto"/>
        <w:ind w:left="567" w:hanging="567"/>
        <w:jc w:val="both"/>
        <w:rPr>
          <w:rFonts w:ascii="Tahoma" w:hAnsi="Tahoma" w:cs="Tahoma"/>
          <w:sz w:val="20"/>
          <w:szCs w:val="20"/>
        </w:rPr>
      </w:pPr>
      <w:r w:rsidRPr="00180EF6">
        <w:rPr>
          <w:rFonts w:ascii="Tahoma" w:hAnsi="Tahoma" w:cs="Tahoma"/>
          <w:sz w:val="20"/>
          <w:szCs w:val="20"/>
        </w:rPr>
        <w:t xml:space="preserve">Declarar infundado el recurso de reconsideración interpuesto por la empresa GRUPO ZONDA S.A.C., contra la Resolución № 561-2011-TC-S4 de fecha 30 de marzo de 2011, mediante la cual se le impuso sanción administrativa de inhabilitación temporal por el periodo de doce (12) meses, en sus derechos para participar en procesos de selección y contratar con el Estado, la cual se confirma en todos sus extremos. </w:t>
      </w:r>
    </w:p>
    <w:p w:rsidR="00180EF6" w:rsidRPr="00180EF6" w:rsidRDefault="00180EF6" w:rsidP="00180EF6">
      <w:pPr>
        <w:spacing w:after="0" w:line="240" w:lineRule="auto"/>
        <w:ind w:left="567"/>
        <w:jc w:val="both"/>
        <w:rPr>
          <w:rFonts w:ascii="Tahoma" w:hAnsi="Tahoma" w:cs="Tahoma"/>
          <w:sz w:val="20"/>
          <w:szCs w:val="20"/>
        </w:rPr>
      </w:pPr>
    </w:p>
    <w:p w:rsidR="00180EF6" w:rsidRPr="00180EF6" w:rsidRDefault="00180EF6" w:rsidP="00180EF6">
      <w:pPr>
        <w:numPr>
          <w:ilvl w:val="0"/>
          <w:numId w:val="2"/>
        </w:numPr>
        <w:tabs>
          <w:tab w:val="clear" w:pos="1080"/>
          <w:tab w:val="num" w:pos="0"/>
        </w:tabs>
        <w:spacing w:after="0" w:line="240" w:lineRule="auto"/>
        <w:ind w:left="567" w:hanging="567"/>
        <w:jc w:val="both"/>
        <w:rPr>
          <w:rFonts w:ascii="Tahoma" w:hAnsi="Tahoma" w:cs="Tahoma"/>
          <w:sz w:val="20"/>
          <w:szCs w:val="20"/>
        </w:rPr>
      </w:pPr>
      <w:r w:rsidRPr="00180EF6">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180EF6" w:rsidRPr="00180EF6" w:rsidRDefault="00180EF6" w:rsidP="00180EF6">
      <w:pPr>
        <w:pStyle w:val="Prrafodelista"/>
        <w:rPr>
          <w:rFonts w:ascii="Tahoma" w:hAnsi="Tahoma" w:cs="Tahoma"/>
          <w:sz w:val="20"/>
          <w:lang w:val="es-ES"/>
        </w:rPr>
      </w:pPr>
    </w:p>
    <w:p w:rsidR="00180EF6" w:rsidRPr="00180EF6" w:rsidRDefault="00180EF6" w:rsidP="00180EF6">
      <w:pPr>
        <w:numPr>
          <w:ilvl w:val="0"/>
          <w:numId w:val="2"/>
        </w:numPr>
        <w:tabs>
          <w:tab w:val="clear" w:pos="1080"/>
          <w:tab w:val="num" w:pos="0"/>
        </w:tabs>
        <w:spacing w:after="0" w:line="240" w:lineRule="auto"/>
        <w:ind w:left="567" w:hanging="567"/>
        <w:jc w:val="both"/>
        <w:rPr>
          <w:rFonts w:ascii="Tahoma" w:hAnsi="Tahoma" w:cs="Tahoma"/>
          <w:sz w:val="20"/>
          <w:szCs w:val="20"/>
        </w:rPr>
      </w:pPr>
      <w:r w:rsidRPr="00180EF6">
        <w:rPr>
          <w:rFonts w:ascii="Tahoma" w:hAnsi="Tahoma" w:cs="Tahoma"/>
          <w:sz w:val="20"/>
          <w:szCs w:val="20"/>
        </w:rPr>
        <w:t xml:space="preserve">Ejecutar la garantía otorgada por </w:t>
      </w:r>
      <w:r w:rsidRPr="00180EF6">
        <w:rPr>
          <w:rFonts w:ascii="Tahoma" w:hAnsi="Tahoma" w:cs="Tahoma"/>
          <w:bCs/>
          <w:sz w:val="20"/>
          <w:szCs w:val="20"/>
        </w:rPr>
        <w:t xml:space="preserve">la empresa GRUPO ZONDA S.A.C. </w:t>
      </w:r>
      <w:r w:rsidRPr="00180EF6">
        <w:rPr>
          <w:rFonts w:ascii="Tahoma" w:hAnsi="Tahoma" w:cs="Tahoma"/>
          <w:sz w:val="20"/>
          <w:szCs w:val="20"/>
        </w:rPr>
        <w:t xml:space="preserve">en favor del Organismo Supervisor de las Contrataciones del Estado (OSCE) para la interposición del recurso de reconsideración materia de decisión.  </w:t>
      </w:r>
    </w:p>
    <w:p w:rsidR="00180EF6" w:rsidRPr="00180EF6" w:rsidRDefault="00180EF6" w:rsidP="00180EF6">
      <w:pPr>
        <w:spacing w:after="0" w:line="240" w:lineRule="auto"/>
        <w:ind w:left="567"/>
        <w:jc w:val="both"/>
        <w:rPr>
          <w:rFonts w:ascii="Tahoma" w:hAnsi="Tahoma" w:cs="Tahoma"/>
          <w:sz w:val="20"/>
          <w:szCs w:val="20"/>
        </w:rPr>
      </w:pPr>
    </w:p>
    <w:p w:rsidR="00180EF6" w:rsidRPr="00180EF6" w:rsidRDefault="00180EF6" w:rsidP="00180EF6">
      <w:pPr>
        <w:numPr>
          <w:ilvl w:val="0"/>
          <w:numId w:val="2"/>
        </w:numPr>
        <w:tabs>
          <w:tab w:val="clear" w:pos="1080"/>
          <w:tab w:val="num" w:pos="0"/>
        </w:tabs>
        <w:spacing w:after="0" w:line="240" w:lineRule="auto"/>
        <w:ind w:left="567" w:hanging="567"/>
        <w:jc w:val="both"/>
        <w:rPr>
          <w:rFonts w:ascii="Tahoma" w:hAnsi="Tahoma" w:cs="Tahoma"/>
          <w:sz w:val="20"/>
          <w:szCs w:val="20"/>
        </w:rPr>
      </w:pPr>
      <w:r w:rsidRPr="00180EF6">
        <w:rPr>
          <w:rFonts w:ascii="Tahoma" w:hAnsi="Tahoma" w:cs="Tahoma"/>
          <w:sz w:val="20"/>
          <w:szCs w:val="20"/>
        </w:rPr>
        <w:t>Dar por agotada la vía administrativa.</w:t>
      </w:r>
    </w:p>
    <w:p w:rsidR="00180EF6" w:rsidRDefault="00180EF6" w:rsidP="00180EF6">
      <w:pPr>
        <w:spacing w:after="0" w:line="240" w:lineRule="auto"/>
        <w:ind w:left="567"/>
        <w:jc w:val="both"/>
        <w:rPr>
          <w:rFonts w:ascii="Tahoma" w:hAnsi="Tahoma" w:cs="Tahoma"/>
          <w:sz w:val="20"/>
          <w:szCs w:val="20"/>
        </w:rPr>
      </w:pPr>
    </w:p>
    <w:p w:rsidR="00180EF6" w:rsidRDefault="00180EF6" w:rsidP="00180EF6">
      <w:pPr>
        <w:spacing w:after="0" w:line="240" w:lineRule="auto"/>
        <w:ind w:left="567"/>
        <w:jc w:val="both"/>
        <w:rPr>
          <w:rFonts w:ascii="Tahoma" w:hAnsi="Tahoma" w:cs="Tahoma"/>
          <w:sz w:val="20"/>
          <w:szCs w:val="20"/>
        </w:rPr>
      </w:pPr>
    </w:p>
    <w:p w:rsidR="00180EF6" w:rsidRDefault="00180EF6" w:rsidP="00180EF6">
      <w:pPr>
        <w:spacing w:after="0" w:line="240" w:lineRule="auto"/>
        <w:ind w:left="567"/>
        <w:jc w:val="both"/>
        <w:rPr>
          <w:rFonts w:ascii="Tahoma" w:hAnsi="Tahoma" w:cs="Tahoma"/>
          <w:sz w:val="20"/>
          <w:szCs w:val="20"/>
        </w:rPr>
      </w:pPr>
    </w:p>
    <w:p w:rsidR="00180EF6" w:rsidRDefault="00180EF6" w:rsidP="00180EF6">
      <w:pPr>
        <w:spacing w:after="0" w:line="240" w:lineRule="auto"/>
        <w:ind w:left="567"/>
        <w:jc w:val="both"/>
        <w:rPr>
          <w:rFonts w:ascii="Tahoma" w:hAnsi="Tahoma" w:cs="Tahoma"/>
          <w:sz w:val="20"/>
          <w:szCs w:val="20"/>
        </w:rPr>
      </w:pPr>
    </w:p>
    <w:p w:rsidR="00180EF6" w:rsidRDefault="00180EF6" w:rsidP="00180EF6">
      <w:pPr>
        <w:spacing w:after="0" w:line="240" w:lineRule="auto"/>
        <w:ind w:left="567"/>
        <w:jc w:val="both"/>
        <w:rPr>
          <w:rFonts w:ascii="Tahoma" w:hAnsi="Tahoma" w:cs="Tahoma"/>
          <w:sz w:val="20"/>
          <w:szCs w:val="20"/>
        </w:rPr>
      </w:pPr>
    </w:p>
    <w:p w:rsidR="00180EF6" w:rsidRDefault="00180EF6" w:rsidP="00180EF6">
      <w:pPr>
        <w:spacing w:after="0" w:line="240" w:lineRule="auto"/>
        <w:ind w:left="567"/>
        <w:jc w:val="both"/>
        <w:rPr>
          <w:rFonts w:ascii="Tahoma" w:hAnsi="Tahoma" w:cs="Tahoma"/>
          <w:sz w:val="20"/>
          <w:szCs w:val="20"/>
        </w:rPr>
      </w:pPr>
    </w:p>
    <w:p w:rsidR="00180EF6" w:rsidRDefault="00180EF6" w:rsidP="00180EF6">
      <w:pPr>
        <w:spacing w:after="0" w:line="240" w:lineRule="auto"/>
        <w:ind w:left="567"/>
        <w:jc w:val="both"/>
        <w:rPr>
          <w:rFonts w:ascii="Tahoma" w:hAnsi="Tahoma" w:cs="Tahoma"/>
          <w:sz w:val="20"/>
          <w:szCs w:val="20"/>
        </w:rPr>
      </w:pPr>
    </w:p>
    <w:p w:rsidR="00180EF6" w:rsidRDefault="00180EF6" w:rsidP="00180EF6">
      <w:pPr>
        <w:spacing w:after="0" w:line="240" w:lineRule="auto"/>
        <w:ind w:left="567"/>
        <w:jc w:val="both"/>
        <w:rPr>
          <w:rFonts w:ascii="Tahoma" w:hAnsi="Tahoma" w:cs="Tahoma"/>
          <w:sz w:val="20"/>
          <w:szCs w:val="20"/>
        </w:rPr>
      </w:pPr>
    </w:p>
    <w:p w:rsidR="005F4E34" w:rsidRPr="002F02A7" w:rsidRDefault="005F4E34" w:rsidP="005F4E34">
      <w:pPr>
        <w:spacing w:after="0" w:line="240" w:lineRule="auto"/>
        <w:jc w:val="both"/>
        <w:rPr>
          <w:rFonts w:ascii="Tahoma" w:hAnsi="Tahoma" w:cs="Tahoma"/>
          <w:sz w:val="20"/>
          <w:szCs w:val="20"/>
        </w:rPr>
      </w:pPr>
    </w:p>
    <w:p w:rsidR="005F4E34" w:rsidRPr="002F02A7" w:rsidRDefault="005F4E34" w:rsidP="005F4E34">
      <w:pPr>
        <w:pStyle w:val="Textoindependiente21"/>
        <w:ind w:right="-315"/>
        <w:rPr>
          <w:rFonts w:cs="Tahoma"/>
          <w:sz w:val="20"/>
        </w:rPr>
      </w:pPr>
      <w:r w:rsidRPr="002F02A7">
        <w:rPr>
          <w:rFonts w:cs="Tahoma"/>
          <w:sz w:val="20"/>
        </w:rPr>
        <w:lastRenderedPageBreak/>
        <w:t>Regístrese, comuníquese y publíquese.</w:t>
      </w:r>
    </w:p>
    <w:p w:rsidR="005F4E34" w:rsidRPr="002F02A7" w:rsidRDefault="005F4E34" w:rsidP="005F4E34">
      <w:pPr>
        <w:spacing w:after="0" w:line="240" w:lineRule="auto"/>
        <w:rPr>
          <w:rFonts w:ascii="Tahoma" w:hAnsi="Tahoma" w:cs="Tahoma"/>
          <w:b/>
          <w:shadow/>
          <w:sz w:val="20"/>
          <w:szCs w:val="20"/>
        </w:rPr>
      </w:pPr>
    </w:p>
    <w:p w:rsidR="005F4E34" w:rsidRPr="002F02A7" w:rsidRDefault="005F4E34" w:rsidP="005F4E34">
      <w:pPr>
        <w:spacing w:after="0" w:line="240" w:lineRule="auto"/>
        <w:rPr>
          <w:rFonts w:ascii="Tahoma" w:hAnsi="Tahoma" w:cs="Tahoma"/>
          <w:b/>
          <w:shadow/>
          <w:sz w:val="20"/>
          <w:szCs w:val="20"/>
        </w:rPr>
      </w:pPr>
    </w:p>
    <w:p w:rsidR="005F4E34" w:rsidRPr="002F02A7" w:rsidRDefault="005F4E34" w:rsidP="005F4E34">
      <w:pPr>
        <w:spacing w:after="0" w:line="240" w:lineRule="auto"/>
        <w:rPr>
          <w:rFonts w:ascii="Tahoma" w:hAnsi="Tahoma" w:cs="Tahoma"/>
          <w:b/>
          <w:shadow/>
          <w:sz w:val="20"/>
          <w:szCs w:val="20"/>
        </w:rPr>
      </w:pPr>
    </w:p>
    <w:p w:rsidR="005F4E34" w:rsidRDefault="005F4E34" w:rsidP="005F4E34">
      <w:pPr>
        <w:spacing w:after="0" w:line="240" w:lineRule="auto"/>
        <w:rPr>
          <w:rFonts w:ascii="Tahoma" w:hAnsi="Tahoma" w:cs="Tahoma"/>
          <w:b/>
          <w:shadow/>
          <w:sz w:val="20"/>
          <w:szCs w:val="20"/>
        </w:rPr>
      </w:pPr>
    </w:p>
    <w:p w:rsidR="005F4E34" w:rsidRDefault="005F4E34" w:rsidP="005F4E34">
      <w:pPr>
        <w:spacing w:after="0" w:line="240" w:lineRule="auto"/>
        <w:rPr>
          <w:rFonts w:ascii="Tahoma" w:hAnsi="Tahoma" w:cs="Tahoma"/>
          <w:b/>
          <w:shadow/>
          <w:sz w:val="20"/>
          <w:szCs w:val="20"/>
        </w:rPr>
      </w:pPr>
    </w:p>
    <w:p w:rsidR="005F4E34" w:rsidRPr="002F02A7" w:rsidRDefault="005F4E34" w:rsidP="005F4E34">
      <w:pPr>
        <w:spacing w:after="0" w:line="240" w:lineRule="auto"/>
        <w:rPr>
          <w:rFonts w:ascii="Tahoma" w:hAnsi="Tahoma" w:cs="Tahoma"/>
          <w:b/>
          <w:shadow/>
          <w:sz w:val="20"/>
          <w:szCs w:val="20"/>
        </w:rPr>
      </w:pPr>
    </w:p>
    <w:p w:rsidR="005F4E34" w:rsidRPr="002F02A7" w:rsidRDefault="005F4E34" w:rsidP="005F4E34">
      <w:pPr>
        <w:spacing w:after="0" w:line="240" w:lineRule="auto"/>
        <w:ind w:left="2832" w:firstLine="708"/>
        <w:rPr>
          <w:rFonts w:ascii="Tahoma" w:hAnsi="Tahoma" w:cs="Tahoma"/>
          <w:b/>
          <w:shadow/>
          <w:sz w:val="20"/>
          <w:szCs w:val="20"/>
        </w:rPr>
      </w:pPr>
      <w:r w:rsidRPr="002F02A7">
        <w:rPr>
          <w:rFonts w:ascii="Tahoma" w:hAnsi="Tahoma" w:cs="Tahoma"/>
          <w:b/>
          <w:shadow/>
          <w:sz w:val="20"/>
          <w:szCs w:val="20"/>
        </w:rPr>
        <w:t>PRESIDENTE</w:t>
      </w:r>
    </w:p>
    <w:p w:rsidR="005F4E34" w:rsidRPr="002F02A7" w:rsidRDefault="005F4E34" w:rsidP="005F4E34">
      <w:pPr>
        <w:spacing w:after="0" w:line="240" w:lineRule="auto"/>
        <w:rPr>
          <w:rFonts w:ascii="Tahoma" w:hAnsi="Tahoma" w:cs="Tahoma"/>
          <w:b/>
          <w:shadow/>
          <w:sz w:val="20"/>
          <w:szCs w:val="20"/>
        </w:rPr>
      </w:pPr>
    </w:p>
    <w:p w:rsidR="005F4E34" w:rsidRPr="002F02A7" w:rsidRDefault="005F4E34" w:rsidP="005F4E34">
      <w:pPr>
        <w:spacing w:after="0" w:line="240" w:lineRule="auto"/>
        <w:rPr>
          <w:rFonts w:ascii="Tahoma" w:hAnsi="Tahoma" w:cs="Tahoma"/>
          <w:b/>
          <w:shadow/>
          <w:sz w:val="20"/>
          <w:szCs w:val="20"/>
        </w:rPr>
      </w:pPr>
    </w:p>
    <w:p w:rsidR="005F4E34" w:rsidRPr="002F02A7" w:rsidRDefault="005F4E34" w:rsidP="005F4E34">
      <w:pPr>
        <w:spacing w:after="0" w:line="240" w:lineRule="auto"/>
        <w:rPr>
          <w:rFonts w:ascii="Tahoma" w:hAnsi="Tahoma" w:cs="Tahoma"/>
          <w:b/>
          <w:shadow/>
          <w:sz w:val="20"/>
          <w:szCs w:val="20"/>
        </w:rPr>
      </w:pPr>
    </w:p>
    <w:p w:rsidR="005F4E34" w:rsidRDefault="005F4E34" w:rsidP="005F4E34">
      <w:pPr>
        <w:spacing w:after="0" w:line="240" w:lineRule="auto"/>
        <w:rPr>
          <w:rFonts w:ascii="Tahoma" w:hAnsi="Tahoma" w:cs="Tahoma"/>
          <w:b/>
          <w:shadow/>
          <w:sz w:val="20"/>
          <w:szCs w:val="20"/>
        </w:rPr>
      </w:pPr>
    </w:p>
    <w:p w:rsidR="005F4E34" w:rsidRDefault="005F4E34" w:rsidP="005F4E34">
      <w:pPr>
        <w:spacing w:after="0" w:line="240" w:lineRule="auto"/>
        <w:rPr>
          <w:rFonts w:ascii="Tahoma" w:hAnsi="Tahoma" w:cs="Tahoma"/>
          <w:b/>
          <w:shadow/>
          <w:sz w:val="20"/>
          <w:szCs w:val="20"/>
        </w:rPr>
      </w:pPr>
    </w:p>
    <w:p w:rsidR="005F4E34" w:rsidRPr="002F02A7" w:rsidRDefault="005F4E34" w:rsidP="005F4E34">
      <w:pPr>
        <w:spacing w:after="0" w:line="240" w:lineRule="auto"/>
        <w:rPr>
          <w:rFonts w:ascii="Tahoma" w:hAnsi="Tahoma" w:cs="Tahoma"/>
          <w:shadow/>
          <w:sz w:val="20"/>
          <w:szCs w:val="20"/>
        </w:rPr>
      </w:pPr>
      <w:r w:rsidRPr="002F02A7">
        <w:rPr>
          <w:rFonts w:ascii="Tahoma" w:hAnsi="Tahoma" w:cs="Tahoma"/>
          <w:b/>
          <w:shadow/>
          <w:sz w:val="20"/>
          <w:szCs w:val="20"/>
        </w:rPr>
        <w:t xml:space="preserve">                   VOCAL</w:t>
      </w:r>
      <w:r w:rsidRPr="002F02A7">
        <w:rPr>
          <w:rFonts w:ascii="Tahoma" w:hAnsi="Tahoma" w:cs="Tahoma"/>
          <w:b/>
          <w:shadow/>
          <w:sz w:val="20"/>
          <w:szCs w:val="20"/>
        </w:rPr>
        <w:tab/>
      </w:r>
      <w:r w:rsidRPr="002F02A7">
        <w:rPr>
          <w:rFonts w:ascii="Tahoma" w:hAnsi="Tahoma" w:cs="Tahoma"/>
          <w:b/>
          <w:shadow/>
          <w:sz w:val="20"/>
          <w:szCs w:val="20"/>
        </w:rPr>
        <w:tab/>
      </w:r>
      <w:r w:rsidRPr="002F02A7">
        <w:rPr>
          <w:rFonts w:ascii="Tahoma" w:hAnsi="Tahoma" w:cs="Tahoma"/>
          <w:b/>
          <w:shadow/>
          <w:sz w:val="20"/>
          <w:szCs w:val="20"/>
        </w:rPr>
        <w:tab/>
      </w:r>
      <w:r w:rsidRPr="002F02A7">
        <w:rPr>
          <w:rFonts w:ascii="Tahoma" w:hAnsi="Tahoma" w:cs="Tahoma"/>
          <w:b/>
          <w:shadow/>
          <w:sz w:val="20"/>
          <w:szCs w:val="20"/>
        </w:rPr>
        <w:tab/>
      </w:r>
      <w:r w:rsidRPr="002F02A7">
        <w:rPr>
          <w:rFonts w:ascii="Tahoma" w:hAnsi="Tahoma" w:cs="Tahoma"/>
          <w:b/>
          <w:shadow/>
          <w:sz w:val="20"/>
          <w:szCs w:val="20"/>
        </w:rPr>
        <w:tab/>
      </w:r>
      <w:r w:rsidRPr="002F02A7">
        <w:rPr>
          <w:rFonts w:ascii="Tahoma" w:hAnsi="Tahoma" w:cs="Tahoma"/>
          <w:b/>
          <w:shadow/>
          <w:sz w:val="20"/>
          <w:szCs w:val="20"/>
        </w:rPr>
        <w:tab/>
      </w:r>
      <w:r w:rsidRPr="002F02A7">
        <w:rPr>
          <w:rFonts w:ascii="Tahoma" w:hAnsi="Tahoma" w:cs="Tahoma"/>
          <w:b/>
          <w:shadow/>
          <w:sz w:val="20"/>
          <w:szCs w:val="20"/>
        </w:rPr>
        <w:tab/>
      </w:r>
      <w:r w:rsidRPr="002F02A7">
        <w:rPr>
          <w:rFonts w:ascii="Tahoma" w:hAnsi="Tahoma" w:cs="Tahoma"/>
          <w:b/>
          <w:shadow/>
          <w:sz w:val="20"/>
          <w:szCs w:val="20"/>
        </w:rPr>
        <w:tab/>
        <w:t xml:space="preserve">VOCAL                                                                 </w:t>
      </w:r>
    </w:p>
    <w:p w:rsidR="005F4E34" w:rsidRDefault="005F4E34" w:rsidP="005F4E34">
      <w:pPr>
        <w:spacing w:after="0" w:line="240" w:lineRule="auto"/>
        <w:jc w:val="both"/>
        <w:rPr>
          <w:rFonts w:ascii="Tahoma" w:hAnsi="Tahoma" w:cs="Tahoma"/>
          <w:sz w:val="20"/>
          <w:szCs w:val="20"/>
        </w:rPr>
      </w:pPr>
    </w:p>
    <w:p w:rsidR="005F4E34" w:rsidRDefault="005F4E34" w:rsidP="005F4E34">
      <w:pPr>
        <w:spacing w:after="0" w:line="240" w:lineRule="auto"/>
        <w:jc w:val="both"/>
        <w:rPr>
          <w:rFonts w:ascii="Tahoma" w:hAnsi="Tahoma" w:cs="Tahoma"/>
          <w:sz w:val="20"/>
          <w:szCs w:val="20"/>
        </w:rPr>
      </w:pPr>
    </w:p>
    <w:p w:rsidR="005F4E34" w:rsidRPr="002F02A7" w:rsidRDefault="005F4E34" w:rsidP="005F4E34">
      <w:pPr>
        <w:spacing w:after="0" w:line="240" w:lineRule="auto"/>
        <w:jc w:val="both"/>
        <w:rPr>
          <w:rFonts w:ascii="Tahoma" w:hAnsi="Tahoma" w:cs="Tahoma"/>
          <w:sz w:val="20"/>
          <w:szCs w:val="20"/>
        </w:rPr>
      </w:pPr>
      <w:r w:rsidRPr="002F02A7">
        <w:rPr>
          <w:rFonts w:ascii="Tahoma" w:hAnsi="Tahoma" w:cs="Tahoma"/>
          <w:sz w:val="20"/>
          <w:szCs w:val="20"/>
        </w:rPr>
        <w:t>ss.</w:t>
      </w:r>
    </w:p>
    <w:p w:rsidR="005F4E34" w:rsidRPr="00180EF6" w:rsidRDefault="00180EF6" w:rsidP="005F4E34">
      <w:pPr>
        <w:spacing w:after="0" w:line="240" w:lineRule="auto"/>
        <w:jc w:val="both"/>
        <w:rPr>
          <w:rFonts w:ascii="Tahoma" w:hAnsi="Tahoma" w:cs="Tahoma"/>
          <w:b/>
          <w:sz w:val="20"/>
          <w:szCs w:val="20"/>
        </w:rPr>
      </w:pPr>
      <w:r w:rsidRPr="00180EF6">
        <w:rPr>
          <w:rFonts w:ascii="Tahoma" w:hAnsi="Tahoma" w:cs="Tahoma"/>
          <w:b/>
          <w:sz w:val="20"/>
          <w:szCs w:val="20"/>
        </w:rPr>
        <w:t>Silva Dávila</w:t>
      </w:r>
    </w:p>
    <w:p w:rsidR="005F4E34" w:rsidRPr="002F02A7" w:rsidRDefault="00180EF6" w:rsidP="005F4E34">
      <w:pPr>
        <w:spacing w:after="0" w:line="240" w:lineRule="auto"/>
        <w:jc w:val="both"/>
        <w:rPr>
          <w:rFonts w:ascii="Tahoma" w:hAnsi="Tahoma" w:cs="Tahoma"/>
          <w:sz w:val="20"/>
          <w:szCs w:val="20"/>
        </w:rPr>
      </w:pPr>
      <w:r>
        <w:rPr>
          <w:rFonts w:ascii="Tahoma" w:hAnsi="Tahoma" w:cs="Tahoma"/>
          <w:sz w:val="20"/>
          <w:szCs w:val="20"/>
        </w:rPr>
        <w:t xml:space="preserve">Zumaeta </w:t>
      </w:r>
      <w:proofErr w:type="spellStart"/>
      <w:r>
        <w:rPr>
          <w:rFonts w:ascii="Tahoma" w:hAnsi="Tahoma" w:cs="Tahoma"/>
          <w:sz w:val="20"/>
          <w:szCs w:val="20"/>
        </w:rPr>
        <w:t>Giudichi</w:t>
      </w:r>
      <w:proofErr w:type="spellEnd"/>
    </w:p>
    <w:p w:rsidR="005F4E34" w:rsidRPr="00135A94" w:rsidRDefault="00180EF6" w:rsidP="005F4E34">
      <w:pPr>
        <w:spacing w:after="0" w:line="240" w:lineRule="auto"/>
        <w:jc w:val="both"/>
        <w:rPr>
          <w:rFonts w:ascii="Tahoma" w:hAnsi="Tahoma" w:cs="Tahoma"/>
          <w:sz w:val="20"/>
          <w:szCs w:val="20"/>
        </w:rPr>
      </w:pPr>
      <w:r>
        <w:rPr>
          <w:rFonts w:ascii="Tahoma" w:hAnsi="Tahoma" w:cs="Tahoma"/>
          <w:sz w:val="20"/>
          <w:szCs w:val="20"/>
        </w:rPr>
        <w:t>Salazar Díaz</w:t>
      </w:r>
      <w:r w:rsidR="005F4E34" w:rsidRPr="002F02A7">
        <w:rPr>
          <w:rFonts w:ascii="Tahoma" w:hAnsi="Tahoma" w:cs="Tahoma"/>
          <w:sz w:val="20"/>
          <w:szCs w:val="20"/>
        </w:rPr>
        <w:t>.</w:t>
      </w:r>
    </w:p>
    <w:p w:rsidR="00707622" w:rsidRDefault="00707622"/>
    <w:sectPr w:rsidR="00707622" w:rsidSect="005F4E34">
      <w:headerReference w:type="default" r:id="rId7"/>
      <w:footerReference w:type="default" r:id="rId8"/>
      <w:pgSz w:w="11906" w:h="16838"/>
      <w:pgMar w:top="3119" w:right="1985" w:bottom="1977"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E34" w:rsidRDefault="005F4E34" w:rsidP="005F4E34">
      <w:pPr>
        <w:spacing w:after="0" w:line="240" w:lineRule="auto"/>
      </w:pPr>
      <w:r>
        <w:separator/>
      </w:r>
    </w:p>
  </w:endnote>
  <w:endnote w:type="continuationSeparator" w:id="1">
    <w:p w:rsidR="005F4E34" w:rsidRDefault="005F4E34" w:rsidP="005F4E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306" w:rsidRPr="00FD5A0C" w:rsidRDefault="00180EF6">
    <w:pPr>
      <w:pStyle w:val="Piedepgina"/>
      <w:jc w:val="center"/>
      <w:rPr>
        <w:rFonts w:ascii="Tahoma" w:hAnsi="Tahoma" w:cs="Tahoma"/>
        <w:i/>
        <w:sz w:val="18"/>
        <w:szCs w:val="18"/>
      </w:rPr>
    </w:pPr>
    <w:r w:rsidRPr="00FD5A0C">
      <w:rPr>
        <w:rFonts w:ascii="Tahoma" w:hAnsi="Tahoma" w:cs="Tahoma"/>
        <w:i/>
        <w:sz w:val="18"/>
        <w:szCs w:val="18"/>
      </w:rPr>
      <w:t xml:space="preserve">Página </w:t>
    </w:r>
    <w:r w:rsidR="004960A9" w:rsidRPr="00FD5A0C">
      <w:rPr>
        <w:rFonts w:ascii="Tahoma" w:hAnsi="Tahoma" w:cs="Tahoma"/>
        <w:i/>
        <w:sz w:val="18"/>
        <w:szCs w:val="18"/>
      </w:rPr>
      <w:fldChar w:fldCharType="begin"/>
    </w:r>
    <w:r w:rsidRPr="00FD5A0C">
      <w:rPr>
        <w:rFonts w:ascii="Tahoma" w:hAnsi="Tahoma" w:cs="Tahoma"/>
        <w:i/>
        <w:sz w:val="18"/>
        <w:szCs w:val="18"/>
      </w:rPr>
      <w:instrText>PAGE</w:instrText>
    </w:r>
    <w:r w:rsidR="004960A9" w:rsidRPr="00FD5A0C">
      <w:rPr>
        <w:rFonts w:ascii="Tahoma" w:hAnsi="Tahoma" w:cs="Tahoma"/>
        <w:i/>
        <w:sz w:val="18"/>
        <w:szCs w:val="18"/>
      </w:rPr>
      <w:fldChar w:fldCharType="separate"/>
    </w:r>
    <w:r w:rsidR="00024BB0">
      <w:rPr>
        <w:rFonts w:ascii="Tahoma" w:hAnsi="Tahoma" w:cs="Tahoma"/>
        <w:i/>
        <w:noProof/>
        <w:sz w:val="18"/>
        <w:szCs w:val="18"/>
      </w:rPr>
      <w:t>1</w:t>
    </w:r>
    <w:r w:rsidR="004960A9" w:rsidRPr="00FD5A0C">
      <w:rPr>
        <w:rFonts w:ascii="Tahoma" w:hAnsi="Tahoma" w:cs="Tahoma"/>
        <w:i/>
        <w:sz w:val="18"/>
        <w:szCs w:val="18"/>
      </w:rPr>
      <w:fldChar w:fldCharType="end"/>
    </w:r>
    <w:r w:rsidRPr="00FD5A0C">
      <w:rPr>
        <w:rFonts w:ascii="Tahoma" w:hAnsi="Tahoma" w:cs="Tahoma"/>
        <w:i/>
        <w:sz w:val="18"/>
        <w:szCs w:val="18"/>
      </w:rPr>
      <w:t xml:space="preserve"> de </w:t>
    </w:r>
    <w:r w:rsidR="004960A9" w:rsidRPr="00FD5A0C">
      <w:rPr>
        <w:rFonts w:ascii="Tahoma" w:hAnsi="Tahoma" w:cs="Tahoma"/>
        <w:i/>
        <w:sz w:val="18"/>
        <w:szCs w:val="18"/>
      </w:rPr>
      <w:fldChar w:fldCharType="begin"/>
    </w:r>
    <w:r w:rsidRPr="00FD5A0C">
      <w:rPr>
        <w:rFonts w:ascii="Tahoma" w:hAnsi="Tahoma" w:cs="Tahoma"/>
        <w:i/>
        <w:sz w:val="18"/>
        <w:szCs w:val="18"/>
      </w:rPr>
      <w:instrText>NUMPAGES</w:instrText>
    </w:r>
    <w:r w:rsidR="004960A9" w:rsidRPr="00FD5A0C">
      <w:rPr>
        <w:rFonts w:ascii="Tahoma" w:hAnsi="Tahoma" w:cs="Tahoma"/>
        <w:i/>
        <w:sz w:val="18"/>
        <w:szCs w:val="18"/>
      </w:rPr>
      <w:fldChar w:fldCharType="separate"/>
    </w:r>
    <w:r w:rsidR="00024BB0">
      <w:rPr>
        <w:rFonts w:ascii="Tahoma" w:hAnsi="Tahoma" w:cs="Tahoma"/>
        <w:i/>
        <w:noProof/>
        <w:sz w:val="18"/>
        <w:szCs w:val="18"/>
      </w:rPr>
      <w:t>12</w:t>
    </w:r>
    <w:r w:rsidR="004960A9" w:rsidRPr="00FD5A0C">
      <w:rPr>
        <w:rFonts w:ascii="Tahoma" w:hAnsi="Tahoma" w:cs="Tahoma"/>
        <w:i/>
        <w:sz w:val="18"/>
        <w:szCs w:val="18"/>
      </w:rPr>
      <w:fldChar w:fldCharType="end"/>
    </w:r>
  </w:p>
  <w:p w:rsidR="004C0306" w:rsidRDefault="00024BB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E34" w:rsidRDefault="005F4E34" w:rsidP="005F4E34">
      <w:pPr>
        <w:spacing w:after="0" w:line="240" w:lineRule="auto"/>
      </w:pPr>
      <w:r>
        <w:separator/>
      </w:r>
    </w:p>
  </w:footnote>
  <w:footnote w:type="continuationSeparator" w:id="1">
    <w:p w:rsidR="005F4E34" w:rsidRDefault="005F4E34" w:rsidP="005F4E34">
      <w:pPr>
        <w:spacing w:after="0" w:line="240" w:lineRule="auto"/>
      </w:pPr>
      <w:r>
        <w:continuationSeparator/>
      </w:r>
    </w:p>
  </w:footnote>
  <w:footnote w:id="2">
    <w:p w:rsidR="005F4E34" w:rsidRPr="004446D1" w:rsidRDefault="005F4E34" w:rsidP="005F4E34">
      <w:pPr>
        <w:pStyle w:val="Textonotapie"/>
        <w:jc w:val="both"/>
        <w:rPr>
          <w:rFonts w:ascii="Tahoma" w:hAnsi="Tahoma" w:cs="Tahoma"/>
          <w:sz w:val="18"/>
          <w:szCs w:val="18"/>
          <w:lang w:val="es-PE"/>
        </w:rPr>
      </w:pPr>
      <w:r w:rsidRPr="002213F0">
        <w:rPr>
          <w:rStyle w:val="Refdenotaalpie"/>
          <w:rFonts w:ascii="Tahoma" w:hAnsi="Tahoma" w:cs="Tahoma"/>
          <w:sz w:val="18"/>
          <w:szCs w:val="18"/>
        </w:rPr>
        <w:footnoteRef/>
      </w:r>
      <w:r w:rsidRPr="002213F0">
        <w:rPr>
          <w:rFonts w:ascii="Tahoma" w:hAnsi="Tahoma" w:cs="Tahoma"/>
          <w:sz w:val="18"/>
          <w:szCs w:val="18"/>
        </w:rPr>
        <w:t xml:space="preserve"> </w:t>
      </w:r>
      <w:r w:rsidRPr="004446D1">
        <w:rPr>
          <w:rFonts w:ascii="Tahoma" w:hAnsi="Tahoma" w:cs="Tahoma"/>
          <w:b/>
          <w:sz w:val="18"/>
          <w:szCs w:val="18"/>
          <w:lang w:val="es-PE"/>
        </w:rPr>
        <w:t xml:space="preserve">Artículo 294.- Causales de aplicación de sanción a los proveedores, participantes, postores y contratistas.- </w:t>
      </w:r>
      <w:r w:rsidRPr="004446D1">
        <w:rPr>
          <w:rFonts w:ascii="Tahoma" w:hAnsi="Tahoma" w:cs="Tahoma"/>
          <w:sz w:val="18"/>
          <w:szCs w:val="18"/>
          <w:lang w:val="es-PE"/>
        </w:rPr>
        <w:t>El Tribunal impondrá la sanción administrativa de inhabilitación temporal o definitiva a los proveedores, postores y/o contratistas que:</w:t>
      </w:r>
    </w:p>
    <w:p w:rsidR="005F4E34" w:rsidRPr="004446D1" w:rsidRDefault="005F4E34" w:rsidP="005F4E34">
      <w:pPr>
        <w:pStyle w:val="Textonotapie"/>
        <w:jc w:val="both"/>
        <w:rPr>
          <w:rFonts w:ascii="Tahoma" w:hAnsi="Tahoma" w:cs="Tahoma"/>
          <w:sz w:val="18"/>
          <w:szCs w:val="18"/>
          <w:lang w:val="es-PE"/>
        </w:rPr>
      </w:pPr>
      <w:r>
        <w:rPr>
          <w:rFonts w:ascii="Tahoma" w:hAnsi="Tahoma" w:cs="Tahoma"/>
          <w:sz w:val="18"/>
          <w:szCs w:val="18"/>
          <w:lang w:val="es-PE"/>
        </w:rPr>
        <w:t>[…]</w:t>
      </w:r>
    </w:p>
    <w:p w:rsidR="005F4E34" w:rsidRDefault="005F4E34" w:rsidP="005F4E34">
      <w:pPr>
        <w:pStyle w:val="Textonotapie"/>
        <w:jc w:val="both"/>
        <w:rPr>
          <w:rFonts w:ascii="Tahoma" w:hAnsi="Tahoma" w:cs="Tahoma"/>
          <w:sz w:val="18"/>
          <w:szCs w:val="18"/>
          <w:lang w:val="es-PE"/>
        </w:rPr>
      </w:pPr>
      <w:r w:rsidRPr="004446D1">
        <w:rPr>
          <w:rFonts w:ascii="Tahoma" w:hAnsi="Tahoma" w:cs="Tahoma"/>
          <w:sz w:val="18"/>
          <w:szCs w:val="18"/>
          <w:lang w:val="es-PE"/>
        </w:rPr>
        <w:t>9) Presenten documentos falsos o inexactos</w:t>
      </w:r>
      <w:r>
        <w:rPr>
          <w:rFonts w:ascii="Tahoma" w:hAnsi="Tahoma" w:cs="Tahoma"/>
          <w:sz w:val="18"/>
          <w:szCs w:val="18"/>
          <w:lang w:val="es-PE"/>
        </w:rPr>
        <w:t xml:space="preserve"> a las Entidades o al CONSUCODE;</w:t>
      </w:r>
    </w:p>
    <w:p w:rsidR="005F4E34" w:rsidRDefault="005F4E34" w:rsidP="005F4E34">
      <w:pPr>
        <w:pStyle w:val="Textonotapie"/>
        <w:jc w:val="both"/>
        <w:rPr>
          <w:rFonts w:ascii="Tahoma" w:hAnsi="Tahoma" w:cs="Tahoma"/>
          <w:sz w:val="18"/>
          <w:szCs w:val="18"/>
          <w:lang w:val="es-PE"/>
        </w:rPr>
      </w:pPr>
      <w:r>
        <w:rPr>
          <w:rFonts w:ascii="Tahoma" w:hAnsi="Tahoma" w:cs="Tahoma"/>
          <w:sz w:val="18"/>
          <w:szCs w:val="18"/>
          <w:lang w:val="es-PE"/>
        </w:rPr>
        <w:t>[…]</w:t>
      </w:r>
    </w:p>
    <w:p w:rsidR="005F4E34" w:rsidRPr="004446D1" w:rsidRDefault="005F4E34" w:rsidP="005F4E34">
      <w:pPr>
        <w:pStyle w:val="Textonotapie"/>
        <w:jc w:val="both"/>
        <w:rPr>
          <w:rFonts w:ascii="Tahoma" w:hAnsi="Tahoma" w:cs="Tahoma"/>
          <w:sz w:val="18"/>
          <w:szCs w:val="18"/>
          <w:lang w:val="es-PE"/>
        </w:rPr>
      </w:pPr>
    </w:p>
  </w:footnote>
  <w:footnote w:id="3">
    <w:p w:rsidR="005F4E34" w:rsidRDefault="005F4E34" w:rsidP="005F4E34">
      <w:pPr>
        <w:pStyle w:val="Textonotapie"/>
        <w:jc w:val="both"/>
        <w:rPr>
          <w:rFonts w:ascii="Tahoma" w:hAnsi="Tahoma" w:cs="Tahoma"/>
          <w:b/>
          <w:sz w:val="18"/>
          <w:szCs w:val="18"/>
        </w:rPr>
      </w:pPr>
      <w:r>
        <w:rPr>
          <w:rStyle w:val="Refdenotaalpie"/>
          <w:rFonts w:ascii="Tahoma" w:hAnsi="Tahoma" w:cs="Tahoma"/>
          <w:sz w:val="18"/>
          <w:szCs w:val="18"/>
        </w:rPr>
        <w:footnoteRef/>
      </w:r>
      <w:r>
        <w:rPr>
          <w:rFonts w:ascii="Tahoma" w:hAnsi="Tahoma" w:cs="Tahoma"/>
          <w:sz w:val="18"/>
          <w:szCs w:val="18"/>
        </w:rPr>
        <w:t xml:space="preserve"> </w:t>
      </w:r>
      <w:r>
        <w:rPr>
          <w:rFonts w:ascii="Tahoma" w:hAnsi="Tahoma" w:cs="Tahoma"/>
          <w:b/>
          <w:sz w:val="18"/>
          <w:szCs w:val="18"/>
        </w:rPr>
        <w:t>Artículo IV.- Principios del procedimiento administrativo</w:t>
      </w:r>
    </w:p>
    <w:p w:rsidR="005F4E34" w:rsidRDefault="005F4E34" w:rsidP="005F4E34">
      <w:pPr>
        <w:pStyle w:val="Textonotapie"/>
        <w:jc w:val="both"/>
        <w:rPr>
          <w:rFonts w:ascii="Tahoma" w:hAnsi="Tahoma" w:cs="Tahoma"/>
          <w:sz w:val="18"/>
          <w:szCs w:val="18"/>
        </w:rPr>
      </w:pPr>
      <w:r>
        <w:rPr>
          <w:rFonts w:ascii="Tahoma" w:hAnsi="Tahoma" w:cs="Tahoma"/>
          <w:sz w:val="18"/>
          <w:szCs w:val="18"/>
        </w:rPr>
        <w:t>1. El procedimiento administrativo se sustenta fundamentalmente en los siguientes principios, sin perjuicio de la vigencia de otros principios generales del Derecho Administrativo:</w:t>
      </w:r>
    </w:p>
    <w:p w:rsidR="005F4E34" w:rsidRDefault="005F4E34" w:rsidP="005F4E34">
      <w:pPr>
        <w:pStyle w:val="Textonotapie"/>
        <w:jc w:val="both"/>
        <w:rPr>
          <w:rFonts w:ascii="Tahoma" w:hAnsi="Tahoma" w:cs="Tahoma"/>
          <w:sz w:val="18"/>
          <w:szCs w:val="18"/>
        </w:rPr>
      </w:pPr>
      <w:r>
        <w:rPr>
          <w:rFonts w:ascii="Tahoma" w:hAnsi="Tahoma" w:cs="Tahoma"/>
          <w:sz w:val="18"/>
          <w:szCs w:val="18"/>
        </w:rPr>
        <w:t>[…]</w:t>
      </w:r>
    </w:p>
    <w:p w:rsidR="005F4E34" w:rsidRDefault="005F4E34" w:rsidP="005F4E34">
      <w:pPr>
        <w:pStyle w:val="Textonotapie"/>
        <w:jc w:val="both"/>
        <w:rPr>
          <w:rFonts w:ascii="Tahoma" w:hAnsi="Tahoma" w:cs="Tahoma"/>
          <w:sz w:val="18"/>
          <w:szCs w:val="18"/>
        </w:rPr>
      </w:pPr>
      <w:r>
        <w:rPr>
          <w:rFonts w:ascii="Tahoma" w:hAnsi="Tahoma" w:cs="Tahoma"/>
          <w:b/>
          <w:sz w:val="18"/>
          <w:szCs w:val="18"/>
        </w:rPr>
        <w:t>1.7 Principio de presunción de veracidad.-</w:t>
      </w:r>
      <w:r>
        <w:rPr>
          <w:rFonts w:ascii="Tahoma" w:hAnsi="Tahoma" w:cs="Tahoma"/>
          <w:sz w:val="18"/>
          <w:szCs w:val="18"/>
        </w:rPr>
        <w:t xml:space="preserve"> En la tramitación del procedimiento administrativo, se presume que los documentos y declaraciones formulados por los administrados en la forma prescrita por esta Ley, responden a la verdad de los hechos que ellos afirman. Esta presunción admite prueba en contrario.</w:t>
      </w:r>
    </w:p>
    <w:p w:rsidR="005F4E34" w:rsidRDefault="005F4E34" w:rsidP="005F4E34">
      <w:pPr>
        <w:pStyle w:val="Textonotapie"/>
        <w:jc w:val="both"/>
        <w:rPr>
          <w:rFonts w:ascii="Tahoma" w:hAnsi="Tahoma" w:cs="Tahoma"/>
          <w:sz w:val="18"/>
          <w:szCs w:val="18"/>
        </w:rPr>
      </w:pPr>
    </w:p>
    <w:p w:rsidR="005F4E34" w:rsidRDefault="005F4E34" w:rsidP="005F4E34">
      <w:pPr>
        <w:pStyle w:val="Textonotapie"/>
        <w:jc w:val="both"/>
        <w:rPr>
          <w:rFonts w:ascii="Tahoma" w:hAnsi="Tahoma" w:cs="Tahoma"/>
          <w:b/>
          <w:sz w:val="18"/>
          <w:szCs w:val="18"/>
        </w:rPr>
      </w:pPr>
      <w:r>
        <w:rPr>
          <w:rFonts w:ascii="Tahoma" w:hAnsi="Tahoma" w:cs="Tahoma"/>
          <w:b/>
          <w:sz w:val="18"/>
          <w:szCs w:val="18"/>
        </w:rPr>
        <w:t>Artículo 42.- Presunción de veracidad</w:t>
      </w:r>
    </w:p>
    <w:p w:rsidR="005F4E34" w:rsidRDefault="005F4E34" w:rsidP="005F4E34">
      <w:pPr>
        <w:pStyle w:val="Textonotapie"/>
        <w:jc w:val="both"/>
        <w:rPr>
          <w:rFonts w:ascii="Tahoma" w:hAnsi="Tahoma" w:cs="Tahoma"/>
          <w:sz w:val="18"/>
          <w:szCs w:val="18"/>
        </w:rPr>
      </w:pPr>
      <w:r>
        <w:rPr>
          <w:rFonts w:ascii="Tahoma" w:hAnsi="Tahoma" w:cs="Tahoma"/>
          <w:sz w:val="18"/>
          <w:szCs w:val="18"/>
        </w:rPr>
        <w:t>42.1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administrativos, salvo prueba en contrario.</w:t>
      </w:r>
    </w:p>
    <w:p w:rsidR="005F4E34" w:rsidRDefault="005F4E34" w:rsidP="005F4E34">
      <w:pPr>
        <w:pStyle w:val="Textonotapie"/>
        <w:ind w:left="180" w:hanging="180"/>
        <w:jc w:val="both"/>
        <w:rPr>
          <w:sz w:val="18"/>
          <w:szCs w:val="18"/>
        </w:rPr>
      </w:pPr>
    </w:p>
  </w:footnote>
  <w:footnote w:id="4">
    <w:p w:rsidR="005F4E34" w:rsidRPr="002B1AB9" w:rsidRDefault="005F4E34" w:rsidP="005F4E34">
      <w:pPr>
        <w:pStyle w:val="Textonotapie"/>
        <w:rPr>
          <w:rFonts w:ascii="Tahoma" w:hAnsi="Tahoma" w:cs="Tahoma"/>
          <w:b/>
          <w:sz w:val="18"/>
          <w:szCs w:val="18"/>
          <w:lang w:val="es-ES_tradnl"/>
        </w:rPr>
      </w:pPr>
      <w:r w:rsidRPr="002B1AB9">
        <w:rPr>
          <w:rStyle w:val="Refdenotaalpie"/>
          <w:rFonts w:ascii="Tahoma" w:hAnsi="Tahoma" w:cs="Tahoma"/>
          <w:sz w:val="18"/>
          <w:szCs w:val="18"/>
        </w:rPr>
        <w:footnoteRef/>
      </w:r>
      <w:r w:rsidRPr="002B1AB9">
        <w:rPr>
          <w:rFonts w:ascii="Tahoma" w:hAnsi="Tahoma" w:cs="Tahoma"/>
          <w:b/>
          <w:sz w:val="18"/>
          <w:szCs w:val="18"/>
        </w:rPr>
        <w:t xml:space="preserve"> </w:t>
      </w:r>
      <w:r w:rsidRPr="002B1AB9">
        <w:rPr>
          <w:rFonts w:ascii="Tahoma" w:hAnsi="Tahoma" w:cs="Tahoma"/>
          <w:b/>
          <w:sz w:val="18"/>
          <w:szCs w:val="18"/>
          <w:lang w:val="es-ES_tradnl"/>
        </w:rPr>
        <w:t>Artículo 302.- Determinación gradual de la sanción.-</w:t>
      </w:r>
    </w:p>
    <w:p w:rsidR="005F4E34" w:rsidRPr="002B1AB9" w:rsidRDefault="005F4E34" w:rsidP="005F4E34">
      <w:pPr>
        <w:pStyle w:val="Textonotapie"/>
        <w:rPr>
          <w:rFonts w:ascii="Tahoma" w:hAnsi="Tahoma" w:cs="Tahoma"/>
          <w:sz w:val="18"/>
          <w:szCs w:val="18"/>
          <w:lang w:val="es-ES_tradnl"/>
        </w:rPr>
      </w:pPr>
      <w:r w:rsidRPr="002B1AB9">
        <w:rPr>
          <w:rFonts w:ascii="Tahoma" w:hAnsi="Tahoma" w:cs="Tahoma"/>
          <w:sz w:val="18"/>
          <w:szCs w:val="18"/>
          <w:lang w:val="es-ES_tradnl"/>
        </w:rPr>
        <w:t xml:space="preserve">Para graduar la sanción </w:t>
      </w:r>
      <w:r>
        <w:rPr>
          <w:rFonts w:ascii="Tahoma" w:hAnsi="Tahoma" w:cs="Tahoma"/>
          <w:sz w:val="18"/>
          <w:szCs w:val="18"/>
          <w:lang w:val="es-ES_tradnl"/>
        </w:rPr>
        <w:t xml:space="preserve">de inhabilitación temporal </w:t>
      </w:r>
      <w:r w:rsidRPr="002B1AB9">
        <w:rPr>
          <w:rFonts w:ascii="Tahoma" w:hAnsi="Tahoma" w:cs="Tahoma"/>
          <w:sz w:val="18"/>
          <w:szCs w:val="18"/>
          <w:lang w:val="es-ES_tradnl"/>
        </w:rPr>
        <w:t>a imponerse</w:t>
      </w:r>
      <w:r>
        <w:rPr>
          <w:rFonts w:ascii="Tahoma" w:hAnsi="Tahoma" w:cs="Tahoma"/>
          <w:sz w:val="18"/>
          <w:szCs w:val="18"/>
          <w:lang w:val="es-ES_tradnl"/>
        </w:rPr>
        <w:t>,</w:t>
      </w:r>
      <w:r w:rsidRPr="002B1AB9">
        <w:rPr>
          <w:rFonts w:ascii="Tahoma" w:hAnsi="Tahoma" w:cs="Tahoma"/>
          <w:sz w:val="18"/>
          <w:szCs w:val="18"/>
          <w:lang w:val="es-ES_tradnl"/>
        </w:rPr>
        <w:t xml:space="preserve"> conforme a las disposiciones del presente Título, </w:t>
      </w:r>
      <w:r>
        <w:rPr>
          <w:rFonts w:ascii="Tahoma" w:hAnsi="Tahoma" w:cs="Tahoma"/>
          <w:sz w:val="18"/>
          <w:szCs w:val="18"/>
          <w:lang w:val="es-ES_tradnl"/>
        </w:rPr>
        <w:t xml:space="preserve">el Tribunal considerará los </w:t>
      </w:r>
      <w:r w:rsidRPr="002B1AB9">
        <w:rPr>
          <w:rFonts w:ascii="Tahoma" w:hAnsi="Tahoma" w:cs="Tahoma"/>
          <w:sz w:val="18"/>
          <w:szCs w:val="18"/>
          <w:lang w:val="es-ES_tradnl"/>
        </w:rPr>
        <w:t>siguientes criterios:</w:t>
      </w:r>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 xml:space="preserve">1) </w:t>
      </w:r>
      <w:r w:rsidRPr="002B1AB9">
        <w:rPr>
          <w:rFonts w:ascii="Tahoma" w:hAnsi="Tahoma" w:cs="Tahoma"/>
          <w:sz w:val="18"/>
          <w:szCs w:val="18"/>
          <w:lang w:val="es-ES_tradnl"/>
        </w:rPr>
        <w:t>Naturaleza de la infracción.</w:t>
      </w:r>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 xml:space="preserve">2) </w:t>
      </w:r>
      <w:r w:rsidRPr="002B1AB9">
        <w:rPr>
          <w:rFonts w:ascii="Tahoma" w:hAnsi="Tahoma" w:cs="Tahoma"/>
          <w:sz w:val="18"/>
          <w:szCs w:val="18"/>
          <w:lang w:val="es-ES_tradnl"/>
        </w:rPr>
        <w:t>Intencionalidad del infractor.</w:t>
      </w:r>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3)</w:t>
      </w:r>
      <w:r w:rsidRPr="0042271D">
        <w:rPr>
          <w:rFonts w:ascii="Tahoma" w:hAnsi="Tahoma" w:cs="Tahoma"/>
          <w:sz w:val="18"/>
          <w:szCs w:val="18"/>
          <w:lang w:val="es-ES_tradnl"/>
        </w:rPr>
        <w:t xml:space="preserve"> </w:t>
      </w:r>
      <w:r w:rsidRPr="002B1AB9">
        <w:rPr>
          <w:rFonts w:ascii="Tahoma" w:hAnsi="Tahoma" w:cs="Tahoma"/>
          <w:sz w:val="18"/>
          <w:szCs w:val="18"/>
          <w:lang w:val="es-ES_tradnl"/>
        </w:rPr>
        <w:t>Daño causado.</w:t>
      </w:r>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 xml:space="preserve">4) </w:t>
      </w:r>
      <w:proofErr w:type="spellStart"/>
      <w:r>
        <w:rPr>
          <w:rFonts w:ascii="Tahoma" w:hAnsi="Tahoma" w:cs="Tahoma"/>
          <w:sz w:val="18"/>
          <w:szCs w:val="18"/>
          <w:lang w:val="es-ES_tradnl"/>
        </w:rPr>
        <w:t>Reiterancia</w:t>
      </w:r>
      <w:proofErr w:type="spellEnd"/>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5) El reconocimiento de la infracción cometida antes de que sea detectada.</w:t>
      </w:r>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6) Circunstancias de tiempo, lugar y modo.</w:t>
      </w:r>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7) Condiciones del infractor.</w:t>
      </w:r>
    </w:p>
    <w:p w:rsidR="005F4E34" w:rsidRDefault="005F4E34" w:rsidP="005F4E34">
      <w:pPr>
        <w:pStyle w:val="Textonotapie"/>
        <w:rPr>
          <w:rFonts w:ascii="Tahoma" w:hAnsi="Tahoma" w:cs="Tahoma"/>
          <w:sz w:val="18"/>
          <w:szCs w:val="18"/>
          <w:lang w:val="es-ES_tradnl"/>
        </w:rPr>
      </w:pPr>
      <w:r>
        <w:rPr>
          <w:rFonts w:ascii="Tahoma" w:hAnsi="Tahoma" w:cs="Tahoma"/>
          <w:sz w:val="18"/>
          <w:szCs w:val="18"/>
          <w:lang w:val="es-ES_tradnl"/>
        </w:rPr>
        <w:t>8) Conducta procesa del infractor.</w:t>
      </w:r>
    </w:p>
    <w:p w:rsidR="005F4E34" w:rsidRPr="002B1AB9" w:rsidRDefault="005F4E34" w:rsidP="005F4E34">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BB0" w:rsidRPr="00051E00" w:rsidRDefault="00024BB0" w:rsidP="00051E00">
    <w:pPr>
      <w:pStyle w:val="NormalWeb"/>
      <w:jc w:val="right"/>
      <w:rPr>
        <w:rFonts w:ascii="Arial Narrow" w:hAnsi="Arial Narrow"/>
        <w:b/>
        <w:bCs/>
        <w:sz w:val="20"/>
        <w:szCs w:val="20"/>
      </w:rPr>
    </w:pPr>
    <w:r>
      <w:rPr>
        <w:rFonts w:ascii="Arial Narrow" w:hAnsi="Arial Narrow"/>
        <w:b/>
        <w:bCs/>
        <w:noProof/>
        <w:sz w:val="20"/>
        <w:szCs w:val="20"/>
      </w:rPr>
      <w:drawing>
        <wp:anchor distT="0" distB="0" distL="114300" distR="114300" simplePos="0" relativeHeight="251659264" behindDoc="0" locked="0" layoutInCell="1" allowOverlap="1">
          <wp:simplePos x="0" y="0"/>
          <wp:positionH relativeFrom="column">
            <wp:posOffset>-612775</wp:posOffset>
          </wp:positionH>
          <wp:positionV relativeFrom="paragraph">
            <wp:posOffset>-31115</wp:posOffset>
          </wp:positionV>
          <wp:extent cx="6524625" cy="600075"/>
          <wp:effectExtent l="19050" t="0" r="9525" b="0"/>
          <wp:wrapSquare wrapText="bothSides"/>
          <wp:docPr id="2" name="Imagen 2"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nbrete"/>
                  <pic:cNvPicPr>
                    <a:picLocks noChangeAspect="1" noChangeArrowheads="1"/>
                  </pic:cNvPicPr>
                </pic:nvPicPr>
                <pic:blipFill>
                  <a:blip r:embed="rId1" cstate="print"/>
                  <a:srcRect/>
                  <a:stretch>
                    <a:fillRect/>
                  </a:stretch>
                </pic:blipFill>
                <pic:spPr bwMode="auto">
                  <a:xfrm>
                    <a:off x="0" y="0"/>
                    <a:ext cx="6524625" cy="600075"/>
                  </a:xfrm>
                  <a:prstGeom prst="rect">
                    <a:avLst/>
                  </a:prstGeom>
                  <a:noFill/>
                </pic:spPr>
              </pic:pic>
            </a:graphicData>
          </a:graphic>
        </wp:anchor>
      </w:drawing>
    </w:r>
  </w:p>
  <w:p w:rsidR="00024BB0" w:rsidRDefault="00024BB0" w:rsidP="00051E00">
    <w:pPr>
      <w:pStyle w:val="NormalWeb"/>
      <w:jc w:val="center"/>
      <w:rPr>
        <w:rFonts w:ascii="Monotype Corsiva" w:hAnsi="Monotype Corsiva"/>
        <w:b/>
        <w:sz w:val="44"/>
        <w:szCs w:val="44"/>
      </w:rPr>
    </w:pPr>
  </w:p>
  <w:p w:rsidR="00024BB0" w:rsidRDefault="00024BB0" w:rsidP="00051E00">
    <w:pPr>
      <w:pStyle w:val="NormalWeb"/>
      <w:jc w:val="center"/>
      <w:rPr>
        <w:rFonts w:ascii="Monotype Corsiva" w:hAnsi="Monotype Corsiva"/>
        <w:b/>
        <w:sz w:val="44"/>
        <w:szCs w:val="44"/>
      </w:rPr>
    </w:pPr>
  </w:p>
  <w:p w:rsidR="00024BB0" w:rsidRPr="00051E00" w:rsidRDefault="00024BB0" w:rsidP="00051E00">
    <w:pPr>
      <w:pStyle w:val="NormalWeb"/>
      <w:jc w:val="center"/>
      <w:rPr>
        <w:rFonts w:ascii="Arial Narrow" w:hAnsi="Arial Narrow"/>
        <w:b/>
        <w:bCs/>
        <w:sz w:val="20"/>
        <w:szCs w:val="20"/>
      </w:rPr>
    </w:pPr>
    <w:r w:rsidRPr="00051E00">
      <w:rPr>
        <w:rFonts w:ascii="Monotype Corsiva" w:hAnsi="Monotype Corsiva"/>
        <w:b/>
        <w:sz w:val="44"/>
        <w:szCs w:val="44"/>
      </w:rPr>
      <w:t xml:space="preserve">Resolución Nº   </w:t>
    </w:r>
    <w:r>
      <w:rPr>
        <w:rFonts w:ascii="Tahoma" w:hAnsi="Tahoma" w:cs="Tahoma"/>
        <w:b/>
        <w:sz w:val="44"/>
        <w:szCs w:val="44"/>
      </w:rPr>
      <w:t>757</w:t>
    </w:r>
    <w:r w:rsidRPr="00051E00">
      <w:rPr>
        <w:rFonts w:ascii="Tahoma" w:hAnsi="Tahoma" w:cs="Tahoma"/>
        <w:b/>
        <w:sz w:val="44"/>
        <w:szCs w:val="44"/>
      </w:rPr>
      <w:t>-2011-TC-S4</w:t>
    </w:r>
  </w:p>
  <w:p w:rsidR="00024BB0" w:rsidRDefault="00024BB0">
    <w:pPr>
      <w:pStyle w:val="Encabezado"/>
    </w:pPr>
  </w:p>
  <w:p w:rsidR="00024BB0" w:rsidRDefault="00024BB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559D1"/>
    <w:multiLevelType w:val="hybridMultilevel"/>
    <w:tmpl w:val="61682994"/>
    <w:lvl w:ilvl="0" w:tplc="E8A4A27C">
      <w:start w:val="1"/>
      <w:numFmt w:val="decimal"/>
      <w:lvlText w:val="%1."/>
      <w:lvlJc w:val="left"/>
      <w:pPr>
        <w:tabs>
          <w:tab w:val="num" w:pos="720"/>
        </w:tabs>
        <w:ind w:left="720" w:hanging="360"/>
      </w:pPr>
      <w:rPr>
        <w:rFonts w:hint="default"/>
        <w:b/>
      </w:rPr>
    </w:lvl>
    <w:lvl w:ilvl="1" w:tplc="3A0A0F92">
      <w:start w:val="1"/>
      <w:numFmt w:val="lowerLetter"/>
      <w:lvlText w:val="%2."/>
      <w:lvlJc w:val="left"/>
      <w:pPr>
        <w:tabs>
          <w:tab w:val="num" w:pos="1440"/>
        </w:tabs>
        <w:ind w:left="1440" w:hanging="360"/>
      </w:pPr>
      <w:rPr>
        <w:rFonts w:hint="default"/>
        <w:b w:val="0"/>
        <w:i w:val="0"/>
      </w:rPr>
    </w:lvl>
    <w:lvl w:ilvl="2" w:tplc="0C0A0019">
      <w:start w:val="1"/>
      <w:numFmt w:val="lowerLetter"/>
      <w:lvlText w:val="%3."/>
      <w:lvlJc w:val="left"/>
      <w:pPr>
        <w:tabs>
          <w:tab w:val="num" w:pos="2340"/>
        </w:tabs>
        <w:ind w:left="2340" w:hanging="360"/>
      </w:pPr>
      <w:rPr>
        <w:rFonts w:hint="default"/>
        <w:b/>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2E9E175E"/>
    <w:multiLevelType w:val="hybridMultilevel"/>
    <w:tmpl w:val="403C97C4"/>
    <w:lvl w:ilvl="0" w:tplc="98B26DF4">
      <w:start w:val="1"/>
      <w:numFmt w:val="decimal"/>
      <w:lvlText w:val="%1."/>
      <w:lvlJc w:val="left"/>
      <w:pPr>
        <w:ind w:left="720" w:hanging="360"/>
      </w:pPr>
      <w:rPr>
        <w:rFonts w:ascii="Tahoma" w:hAnsi="Tahoma" w:cs="Tahoma" w:hint="default"/>
        <w:b/>
        <w:i w:val="0"/>
        <w:sz w:val="20"/>
        <w:szCs w:val="2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840338C"/>
    <w:multiLevelType w:val="hybridMultilevel"/>
    <w:tmpl w:val="45F65198"/>
    <w:lvl w:ilvl="0" w:tplc="498E5506">
      <w:start w:val="19"/>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516B3781"/>
    <w:multiLevelType w:val="hybridMultilevel"/>
    <w:tmpl w:val="BAE6A612"/>
    <w:lvl w:ilvl="0" w:tplc="98B26DF4">
      <w:start w:val="1"/>
      <w:numFmt w:val="decimal"/>
      <w:lvlText w:val="%1."/>
      <w:lvlJc w:val="left"/>
      <w:pPr>
        <w:tabs>
          <w:tab w:val="num" w:pos="1080"/>
        </w:tabs>
        <w:ind w:left="1080" w:hanging="360"/>
      </w:pPr>
      <w:rPr>
        <w:rFonts w:ascii="Tahoma" w:hAnsi="Tahoma" w:cs="Tahoma" w:hint="default"/>
        <w:b/>
        <w:i w:val="0"/>
        <w:sz w:val="20"/>
        <w:szCs w:val="20"/>
      </w:rPr>
    </w:lvl>
    <w:lvl w:ilvl="1" w:tplc="0C0A0001">
      <w:start w:val="1"/>
      <w:numFmt w:val="bullet"/>
      <w:lvlText w:val=""/>
      <w:lvlJc w:val="left"/>
      <w:pPr>
        <w:tabs>
          <w:tab w:val="num" w:pos="1800"/>
        </w:tabs>
        <w:ind w:left="1800" w:hanging="360"/>
      </w:pPr>
      <w:rPr>
        <w:rFonts w:ascii="Symbol" w:hAnsi="Symbol" w:hint="default"/>
        <w:b/>
        <w:sz w:val="20"/>
        <w:szCs w:val="20"/>
      </w:rPr>
    </w:lvl>
    <w:lvl w:ilvl="2" w:tplc="7DB4FF3A">
      <w:start w:val="2"/>
      <w:numFmt w:val="lowerLetter"/>
      <w:lvlText w:val="%3."/>
      <w:lvlJc w:val="left"/>
      <w:pPr>
        <w:tabs>
          <w:tab w:val="num" w:pos="2700"/>
        </w:tabs>
        <w:ind w:left="2700" w:hanging="360"/>
      </w:pPr>
      <w:rPr>
        <w:rFonts w:hint="default"/>
        <w:b/>
      </w:rPr>
    </w:lvl>
    <w:lvl w:ilvl="3" w:tplc="A0D0E0DC">
      <w:start w:val="4"/>
      <w:numFmt w:val="decimal"/>
      <w:lvlText w:val="%4."/>
      <w:lvlJc w:val="left"/>
      <w:pPr>
        <w:tabs>
          <w:tab w:val="num" w:pos="3240"/>
        </w:tabs>
        <w:ind w:left="3240" w:hanging="360"/>
      </w:pPr>
      <w:rPr>
        <w:rFonts w:hint="default"/>
      </w:r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
    <w:nsid w:val="573C7104"/>
    <w:multiLevelType w:val="hybridMultilevel"/>
    <w:tmpl w:val="714E4B88"/>
    <w:lvl w:ilvl="0" w:tplc="CB6EB190">
      <w:numFmt w:val="bullet"/>
      <w:lvlText w:val="-"/>
      <w:lvlJc w:val="left"/>
      <w:pPr>
        <w:ind w:left="927" w:hanging="360"/>
      </w:pPr>
      <w:rPr>
        <w:rFonts w:ascii="Tahoma" w:eastAsia="Times New Roman" w:hAnsi="Tahoma" w:cs="Tahoma" w:hint="default"/>
        <w:sz w:val="24"/>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5">
    <w:nsid w:val="66CE29A7"/>
    <w:multiLevelType w:val="hybridMultilevel"/>
    <w:tmpl w:val="E9760EAC"/>
    <w:lvl w:ilvl="0" w:tplc="1D42F65C">
      <w:start w:val="13"/>
      <w:numFmt w:val="decimal"/>
      <w:lvlText w:val="%1."/>
      <w:lvlJc w:val="left"/>
      <w:pPr>
        <w:ind w:left="900" w:hanging="36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6">
    <w:nsid w:val="69215DC5"/>
    <w:multiLevelType w:val="hybridMultilevel"/>
    <w:tmpl w:val="0C7EC0A4"/>
    <w:lvl w:ilvl="0" w:tplc="189EB082">
      <w:numFmt w:val="bullet"/>
      <w:lvlText w:val="-"/>
      <w:lvlJc w:val="left"/>
      <w:pPr>
        <w:ind w:left="927" w:hanging="360"/>
      </w:pPr>
      <w:rPr>
        <w:rFonts w:ascii="Tahoma" w:eastAsia="Times New Roman" w:hAnsi="Tahoma" w:cs="Tahoma"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7">
    <w:nsid w:val="75823EB3"/>
    <w:multiLevelType w:val="hybridMultilevel"/>
    <w:tmpl w:val="0E2CEB3E"/>
    <w:lvl w:ilvl="0" w:tplc="71B22E4E">
      <w:start w:val="1"/>
      <w:numFmt w:val="decimal"/>
      <w:lvlText w:val="%1."/>
      <w:lvlJc w:val="left"/>
      <w:pPr>
        <w:tabs>
          <w:tab w:val="num" w:pos="1080"/>
        </w:tabs>
        <w:ind w:left="1080" w:hanging="360"/>
      </w:pPr>
      <w:rPr>
        <w:rFonts w:ascii="Tahoma" w:hAnsi="Tahoma" w:cs="Tahoma" w:hint="default"/>
        <w:b/>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2"/>
  </w:num>
  <w:num w:numId="5">
    <w:abstractNumId w:val="0"/>
  </w:num>
  <w:num w:numId="6">
    <w:abstractNumId w:val="6"/>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5F4E34"/>
    <w:rsid w:val="00024BB0"/>
    <w:rsid w:val="00180EF6"/>
    <w:rsid w:val="004960A9"/>
    <w:rsid w:val="005F4E34"/>
    <w:rsid w:val="0070762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E34"/>
    <w:rPr>
      <w:rFonts w:ascii="Calibri" w:eastAsia="Calibri" w:hAnsi="Calibri" w:cs="Times New Roman"/>
    </w:rPr>
  </w:style>
  <w:style w:type="paragraph" w:styleId="Ttulo2">
    <w:name w:val="heading 2"/>
    <w:basedOn w:val="Normal"/>
    <w:next w:val="Normal"/>
    <w:link w:val="Ttulo2Car"/>
    <w:qFormat/>
    <w:rsid w:val="005F4E34"/>
    <w:pPr>
      <w:keepNext/>
      <w:spacing w:after="0" w:line="240" w:lineRule="auto"/>
      <w:jc w:val="center"/>
      <w:outlineLvl w:val="1"/>
    </w:pPr>
    <w:rPr>
      <w:rFonts w:ascii="Tahoma" w:eastAsia="Times New Roman" w:hAnsi="Tahoma"/>
      <w:b/>
      <w:sz w:val="24"/>
      <w:szCs w:val="20"/>
      <w:lang w:val="es-PE"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F4E34"/>
    <w:rPr>
      <w:rFonts w:ascii="Tahoma" w:eastAsia="Times New Roman" w:hAnsi="Tahoma" w:cs="Times New Roman"/>
      <w:b/>
      <w:sz w:val="24"/>
      <w:szCs w:val="20"/>
      <w:lang w:val="es-PE" w:eastAsia="es-PE"/>
    </w:rPr>
  </w:style>
  <w:style w:type="character" w:customStyle="1" w:styleId="TextonotapieCar">
    <w:name w:val="Texto nota pie Car"/>
    <w:aliases w:val="Car Car, Car Car, Car4 Car,Texto nota pie1 Car,Body Text Car,Car Car Car Car,Car Car1 Car,Car4 Car"/>
    <w:basedOn w:val="Fuentedeprrafopredeter"/>
    <w:link w:val="Textonotapie"/>
    <w:locked/>
    <w:rsid w:val="005F4E34"/>
    <w:rPr>
      <w:rFonts w:ascii="Times New Roman" w:eastAsia="Times New Roman" w:hAnsi="Times New Roman"/>
    </w:rPr>
  </w:style>
  <w:style w:type="paragraph" w:styleId="Textonotapie">
    <w:name w:val="footnote text"/>
    <w:aliases w:val="Car, Car, Car4,Texto nota pie1,Body Text,Car Car Car,Car Car1,Car4"/>
    <w:basedOn w:val="Normal"/>
    <w:link w:val="TextonotapieCar"/>
    <w:unhideWhenUsed/>
    <w:rsid w:val="005F4E34"/>
    <w:pPr>
      <w:spacing w:after="0" w:line="240" w:lineRule="auto"/>
    </w:pPr>
    <w:rPr>
      <w:rFonts w:ascii="Times New Roman" w:eastAsia="Times New Roman" w:hAnsi="Times New Roman" w:cstheme="minorBidi"/>
    </w:rPr>
  </w:style>
  <w:style w:type="character" w:customStyle="1" w:styleId="TextonotapieCar1">
    <w:name w:val="Texto nota pie Car1"/>
    <w:basedOn w:val="Fuentedeprrafopredeter"/>
    <w:link w:val="Textonotapie"/>
    <w:uiPriority w:val="99"/>
    <w:semiHidden/>
    <w:rsid w:val="005F4E34"/>
    <w:rPr>
      <w:rFonts w:ascii="Calibri" w:eastAsia="Calibri" w:hAnsi="Calibri" w:cs="Times New Roman"/>
      <w:sz w:val="20"/>
      <w:szCs w:val="20"/>
    </w:rPr>
  </w:style>
  <w:style w:type="paragraph" w:styleId="Textoindependiente">
    <w:name w:val="Body Text"/>
    <w:basedOn w:val="Normal"/>
    <w:link w:val="TextoindependienteCar"/>
    <w:unhideWhenUsed/>
    <w:rsid w:val="005F4E34"/>
    <w:pPr>
      <w:widowControl w:val="0"/>
      <w:suppressAutoHyphens/>
      <w:spacing w:after="0" w:line="240" w:lineRule="auto"/>
      <w:jc w:val="both"/>
    </w:pPr>
    <w:rPr>
      <w:rFonts w:ascii="Tahoma" w:eastAsia="Times New Roman" w:hAnsi="Tahoma"/>
      <w:szCs w:val="20"/>
      <w:lang w:val="es-ES_tradnl" w:eastAsia="es-ES"/>
    </w:rPr>
  </w:style>
  <w:style w:type="character" w:customStyle="1" w:styleId="TextoindependienteCar">
    <w:name w:val="Texto independiente Car"/>
    <w:basedOn w:val="Fuentedeprrafopredeter"/>
    <w:link w:val="Textoindependiente"/>
    <w:rsid w:val="005F4E34"/>
    <w:rPr>
      <w:rFonts w:ascii="Tahoma" w:eastAsia="Times New Roman" w:hAnsi="Tahoma" w:cs="Times New Roman"/>
      <w:szCs w:val="20"/>
      <w:lang w:val="es-ES_tradnl" w:eastAsia="es-ES"/>
    </w:rPr>
  </w:style>
  <w:style w:type="paragraph" w:styleId="Textoindependiente3">
    <w:name w:val="Body Text 3"/>
    <w:basedOn w:val="Normal"/>
    <w:link w:val="Textoindependiente3Car"/>
    <w:semiHidden/>
    <w:unhideWhenUsed/>
    <w:rsid w:val="005F4E34"/>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5F4E34"/>
    <w:rPr>
      <w:rFonts w:ascii="Times New Roman" w:eastAsia="Times New Roman" w:hAnsi="Times New Roman" w:cs="Times New Roman"/>
      <w:sz w:val="16"/>
      <w:szCs w:val="16"/>
      <w:lang w:val="es-PE" w:eastAsia="es-ES"/>
    </w:rPr>
  </w:style>
  <w:style w:type="paragraph" w:styleId="Prrafodelista">
    <w:name w:val="List Paragraph"/>
    <w:basedOn w:val="Normal"/>
    <w:uiPriority w:val="34"/>
    <w:qFormat/>
    <w:rsid w:val="005F4E34"/>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customStyle="1" w:styleId="Textoindependiente21">
    <w:name w:val="Texto independiente 21"/>
    <w:basedOn w:val="Normal"/>
    <w:rsid w:val="005F4E34"/>
    <w:pPr>
      <w:spacing w:after="0" w:line="240" w:lineRule="auto"/>
      <w:jc w:val="both"/>
    </w:pPr>
    <w:rPr>
      <w:rFonts w:ascii="Tahoma" w:eastAsia="Times New Roman" w:hAnsi="Tahoma"/>
      <w:szCs w:val="20"/>
      <w:lang w:eastAsia="es-ES"/>
    </w:rPr>
  </w:style>
  <w:style w:type="character" w:styleId="Refdenotaalpie">
    <w:name w:val="footnote reference"/>
    <w:basedOn w:val="Fuentedeprrafopredeter"/>
    <w:unhideWhenUsed/>
    <w:rsid w:val="005F4E34"/>
    <w:rPr>
      <w:vertAlign w:val="superscript"/>
    </w:rPr>
  </w:style>
  <w:style w:type="paragraph" w:styleId="Piedepgina">
    <w:name w:val="footer"/>
    <w:basedOn w:val="Normal"/>
    <w:link w:val="PiedepginaCar"/>
    <w:uiPriority w:val="99"/>
    <w:unhideWhenUsed/>
    <w:rsid w:val="005F4E34"/>
    <w:pPr>
      <w:tabs>
        <w:tab w:val="center" w:pos="4252"/>
        <w:tab w:val="right" w:pos="8504"/>
      </w:tabs>
    </w:pPr>
  </w:style>
  <w:style w:type="character" w:customStyle="1" w:styleId="PiedepginaCar">
    <w:name w:val="Pie de página Car"/>
    <w:basedOn w:val="Fuentedeprrafopredeter"/>
    <w:link w:val="Piedepgina"/>
    <w:uiPriority w:val="99"/>
    <w:rsid w:val="005F4E34"/>
    <w:rPr>
      <w:rFonts w:ascii="Calibri" w:eastAsia="Calibri" w:hAnsi="Calibri" w:cs="Times New Roman"/>
    </w:rPr>
  </w:style>
  <w:style w:type="paragraph" w:styleId="Encabezado">
    <w:name w:val="header"/>
    <w:basedOn w:val="Normal"/>
    <w:link w:val="EncabezadoCar"/>
    <w:uiPriority w:val="99"/>
    <w:semiHidden/>
    <w:unhideWhenUsed/>
    <w:rsid w:val="00024BB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024BB0"/>
    <w:rPr>
      <w:rFonts w:ascii="Calibri" w:eastAsia="Calibri" w:hAnsi="Calibri" w:cs="Times New Roman"/>
    </w:rPr>
  </w:style>
  <w:style w:type="paragraph" w:styleId="NormalWeb">
    <w:name w:val="Normal (Web)"/>
    <w:basedOn w:val="Normal"/>
    <w:uiPriority w:val="99"/>
    <w:unhideWhenUsed/>
    <w:rsid w:val="00024BB0"/>
    <w:pPr>
      <w:spacing w:after="0" w:line="240" w:lineRule="auto"/>
    </w:pPr>
    <w:rPr>
      <w:rFonts w:ascii="Arial" w:eastAsiaTheme="minorEastAsia" w:hAnsi="Arial" w:cs="Arial"/>
      <w:sz w:val="16"/>
      <w:szCs w:val="16"/>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4320</Words>
  <Characters>23762</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vjaccachoury</dc:creator>
  <cp:keywords/>
  <dc:description/>
  <cp:lastModifiedBy>mhinostroza</cp:lastModifiedBy>
  <cp:revision>2</cp:revision>
  <dcterms:created xsi:type="dcterms:W3CDTF">2011-04-30T00:05:00Z</dcterms:created>
  <dcterms:modified xsi:type="dcterms:W3CDTF">2011-04-30T00:05:00Z</dcterms:modified>
</cp:coreProperties>
</file>